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6F4A" w14:textId="40CE9E81" w:rsidR="00417BFE" w:rsidRPr="000A0B62" w:rsidRDefault="00417BFE" w:rsidP="009E1EBA">
      <w:pPr>
        <w:widowControl w:val="0"/>
        <w:shd w:val="clear" w:color="auto" w:fill="FFFFFF"/>
        <w:autoSpaceDE w:val="0"/>
        <w:autoSpaceDN w:val="0"/>
        <w:spacing w:before="240" w:after="0" w:line="276" w:lineRule="auto"/>
        <w:jc w:val="both"/>
        <w:rPr>
          <w:rFonts w:ascii="Times New Roman" w:eastAsia="Times New Roman" w:hAnsi="Times New Roman"/>
          <w:b/>
          <w:bCs/>
          <w:color w:val="000000"/>
          <w:sz w:val="24"/>
          <w:szCs w:val="24"/>
          <w:u w:val="single"/>
        </w:rPr>
      </w:pPr>
      <w:r w:rsidRPr="009E1EBA">
        <w:rPr>
          <w:rFonts w:ascii="Times New Roman" w:eastAsia="Times New Roman" w:hAnsi="Times New Roman"/>
          <w:b/>
          <w:bCs/>
          <w:color w:val="000000"/>
          <w:sz w:val="24"/>
          <w:szCs w:val="24"/>
        </w:rPr>
        <w:t xml:space="preserve">Platné znění vyhlášky č. </w:t>
      </w:r>
      <w:bookmarkStart w:id="0" w:name="_Hlk144817232"/>
      <w:r w:rsidRPr="009E1EBA">
        <w:rPr>
          <w:rFonts w:ascii="Times New Roman" w:eastAsia="Times New Roman" w:hAnsi="Times New Roman"/>
          <w:b/>
          <w:bCs/>
          <w:color w:val="000000"/>
          <w:sz w:val="24"/>
          <w:szCs w:val="24"/>
        </w:rPr>
        <w:t>313/2007 Sb.</w:t>
      </w:r>
      <w:bookmarkEnd w:id="0"/>
      <w:r w:rsidRPr="009E1EBA">
        <w:rPr>
          <w:rFonts w:ascii="Times New Roman" w:eastAsia="Times New Roman" w:hAnsi="Times New Roman"/>
          <w:b/>
          <w:bCs/>
          <w:color w:val="000000"/>
          <w:sz w:val="24"/>
          <w:szCs w:val="24"/>
        </w:rPr>
        <w:t>, o odměně insolvenčního správce, o náhradách jeho hotových výdajů, o odměně členů a náhradníků věřitelského výboru a o náhradách jejich nutných výdajů, ve znění pozdějších předpisů</w:t>
      </w:r>
      <w:r w:rsidR="009E1EBA" w:rsidRPr="009E1EBA">
        <w:rPr>
          <w:rFonts w:ascii="Times New Roman" w:eastAsia="Times New Roman" w:hAnsi="Times New Roman"/>
          <w:b/>
          <w:bCs/>
          <w:color w:val="000000"/>
          <w:sz w:val="24"/>
          <w:szCs w:val="24"/>
        </w:rPr>
        <w:t xml:space="preserve">, </w:t>
      </w:r>
      <w:r w:rsidR="009E1EBA" w:rsidRPr="009E1EBA">
        <w:rPr>
          <w:rFonts w:ascii="Times New Roman" w:eastAsia="Times New Roman" w:hAnsi="Times New Roman"/>
          <w:b/>
          <w:sz w:val="24"/>
          <w:szCs w:val="24"/>
        </w:rPr>
        <w:t>s vyznačením</w:t>
      </w:r>
      <w:r w:rsidR="009E1EBA" w:rsidRPr="00920AFA">
        <w:rPr>
          <w:rFonts w:ascii="Times New Roman" w:eastAsia="Times New Roman" w:hAnsi="Times New Roman"/>
          <w:b/>
          <w:sz w:val="24"/>
          <w:szCs w:val="24"/>
        </w:rPr>
        <w:t xml:space="preserve"> navrhovaných změn</w:t>
      </w:r>
    </w:p>
    <w:p w14:paraId="467D1A20" w14:textId="68308ACA"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p>
    <w:p w14:paraId="48600F85" w14:textId="77777777" w:rsidR="000E5401" w:rsidRPr="000A0B62" w:rsidRDefault="000E5401" w:rsidP="00980CC4">
      <w:pPr>
        <w:pStyle w:val="Paragraf"/>
        <w:spacing w:before="0"/>
      </w:pPr>
      <w:r w:rsidRPr="000A0B62">
        <w:t xml:space="preserve">§ 2a </w:t>
      </w:r>
    </w:p>
    <w:p w14:paraId="28404F9D"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p>
    <w:p w14:paraId="463AFBE6" w14:textId="29494A24"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ab/>
      </w:r>
      <w:r w:rsidRPr="000A0B62">
        <w:rPr>
          <w:rFonts w:ascii="Times New Roman" w:hAnsi="Times New Roman"/>
          <w:strike/>
          <w:sz w:val="24"/>
          <w:szCs w:val="24"/>
        </w:rPr>
        <w:t>Pokud je způsobem řešení dlužníkova úpadku konkurs nebo reorganizace, náleží insolvenčnímu správci</w:t>
      </w:r>
      <w:r w:rsidR="0041137A" w:rsidRPr="000A0B62">
        <w:rPr>
          <w:rFonts w:ascii="Times New Roman" w:hAnsi="Times New Roman"/>
          <w:sz w:val="24"/>
          <w:szCs w:val="24"/>
        </w:rPr>
        <w:t xml:space="preserve"> </w:t>
      </w:r>
      <w:r w:rsidR="0041137A" w:rsidRPr="000A0B62">
        <w:rPr>
          <w:rFonts w:ascii="Times New Roman" w:hAnsi="Times New Roman"/>
          <w:b/>
          <w:bCs/>
          <w:sz w:val="24"/>
          <w:szCs w:val="24"/>
        </w:rPr>
        <w:t>Insolvenčnímu správci náleží</w:t>
      </w:r>
      <w:r w:rsidR="0041137A" w:rsidRPr="000A0B62">
        <w:rPr>
          <w:rFonts w:ascii="Times New Roman" w:hAnsi="Times New Roman"/>
          <w:sz w:val="24"/>
          <w:szCs w:val="24"/>
        </w:rPr>
        <w:t xml:space="preserve"> </w:t>
      </w:r>
      <w:r w:rsidRPr="000A0B62">
        <w:rPr>
          <w:rFonts w:ascii="Times New Roman" w:hAnsi="Times New Roman"/>
          <w:sz w:val="24"/>
          <w:szCs w:val="24"/>
        </w:rPr>
        <w:t xml:space="preserve">dále odměna z počtu přezkoumaných přihlášek pohledávek věřitelů, která činí za každou přezkoumanou přihlášku pohledávky věřitele částku 1 000 Kč, nejvýše však 1 000 000 Kč celkem za přezkoumané přihlášky pohledávek. Za přezkoumanou přihlášku pohledávky věřitele se považuje taková přihláška pohledávky věřitele, kterou insolvenční správce zařadil do seznamu přihlášených pohledávek podle insolvenčního zákona. Pokud je způsobem řešení dlužníkova úpadku konkurs a nedošlo-li ke zpeněžení, náleží insolvenčnímu správci odměna z počtu přezkoumaných přihlášek pohledávek věřitelů nejméně 45 000 Kč. </w:t>
      </w:r>
    </w:p>
    <w:p w14:paraId="5FDE736E"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t xml:space="preserve"> </w:t>
      </w:r>
    </w:p>
    <w:p w14:paraId="73FF2ABC" w14:textId="77777777" w:rsidR="000E5401" w:rsidRPr="000A0B62" w:rsidRDefault="000E5401" w:rsidP="00980CC4">
      <w:pPr>
        <w:pStyle w:val="Paragraf"/>
        <w:spacing w:before="0"/>
      </w:pPr>
      <w:r w:rsidRPr="000A0B62">
        <w:t xml:space="preserve">§ 3 </w:t>
      </w:r>
    </w:p>
    <w:p w14:paraId="1F175E18"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p>
    <w:p w14:paraId="5E81727E" w14:textId="77777777" w:rsidR="000E5401" w:rsidRPr="000A0B62" w:rsidRDefault="000E5401">
      <w:pPr>
        <w:widowControl w:val="0"/>
        <w:autoSpaceDE w:val="0"/>
        <w:autoSpaceDN w:val="0"/>
        <w:adjustRightInd w:val="0"/>
        <w:spacing w:after="0" w:line="240" w:lineRule="auto"/>
        <w:jc w:val="center"/>
        <w:rPr>
          <w:rFonts w:ascii="Times New Roman" w:hAnsi="Times New Roman"/>
          <w:b/>
          <w:bCs/>
          <w:sz w:val="24"/>
          <w:szCs w:val="24"/>
        </w:rPr>
      </w:pPr>
      <w:r w:rsidRPr="000A0B62">
        <w:rPr>
          <w:rFonts w:ascii="Times New Roman" w:hAnsi="Times New Roman"/>
          <w:b/>
          <w:bCs/>
          <w:sz w:val="24"/>
          <w:szCs w:val="24"/>
        </w:rPr>
        <w:t xml:space="preserve">Odměna insolvenčního správce při oddlužení </w:t>
      </w:r>
    </w:p>
    <w:p w14:paraId="27123952" w14:textId="77777777" w:rsidR="000E5401" w:rsidRPr="000A0B62" w:rsidRDefault="000E5401">
      <w:pPr>
        <w:widowControl w:val="0"/>
        <w:autoSpaceDE w:val="0"/>
        <w:autoSpaceDN w:val="0"/>
        <w:adjustRightInd w:val="0"/>
        <w:spacing w:after="0" w:line="240" w:lineRule="auto"/>
        <w:rPr>
          <w:rFonts w:ascii="Times New Roman" w:hAnsi="Times New Roman"/>
          <w:b/>
          <w:bCs/>
          <w:sz w:val="24"/>
          <w:szCs w:val="24"/>
        </w:rPr>
      </w:pPr>
    </w:p>
    <w:p w14:paraId="012DC7B3" w14:textId="5350EEE0"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ab/>
        <w:t xml:space="preserve">(1) Pokud je způsobem řešení dlužníkova úpadku oddlužení zpeněžením majetkové podstaty, činí odměna insolvenčního správce částku určenou podle § 1, nejméně však 45 000 Kč. </w:t>
      </w:r>
    </w:p>
    <w:p w14:paraId="5452C763"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t xml:space="preserve"> </w:t>
      </w:r>
    </w:p>
    <w:p w14:paraId="06B80500" w14:textId="541A8C42"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ab/>
        <w:t xml:space="preserve">(2) Pokud je způsobem řešení dlužníkova úpadku oddlužení plněním splátkového kalendáře se zpeněžením majetkové podstaty, činí odměna insolvenčního správce </w:t>
      </w:r>
    </w:p>
    <w:p w14:paraId="5CA47C62" w14:textId="50F57D74" w:rsidR="000E5401" w:rsidRPr="000A0B62" w:rsidRDefault="000E5401">
      <w:pPr>
        <w:widowControl w:val="0"/>
        <w:autoSpaceDE w:val="0"/>
        <w:autoSpaceDN w:val="0"/>
        <w:adjustRightInd w:val="0"/>
        <w:spacing w:after="0" w:line="240" w:lineRule="auto"/>
        <w:rPr>
          <w:rFonts w:ascii="Times New Roman" w:hAnsi="Times New Roman"/>
          <w:bCs/>
          <w:sz w:val="24"/>
          <w:szCs w:val="24"/>
        </w:rPr>
      </w:pPr>
      <w:r w:rsidRPr="000A0B62">
        <w:rPr>
          <w:rFonts w:ascii="Times New Roman" w:hAnsi="Times New Roman"/>
          <w:bCs/>
          <w:sz w:val="24"/>
          <w:szCs w:val="24"/>
        </w:rPr>
        <w:t xml:space="preserve"> </w:t>
      </w:r>
    </w:p>
    <w:p w14:paraId="3C1FF679" w14:textId="72A61C6B" w:rsidR="000E5401" w:rsidRPr="000A0B62" w:rsidRDefault="000E5401">
      <w:pPr>
        <w:widowControl w:val="0"/>
        <w:autoSpaceDE w:val="0"/>
        <w:autoSpaceDN w:val="0"/>
        <w:adjustRightInd w:val="0"/>
        <w:spacing w:after="0" w:line="240" w:lineRule="auto"/>
        <w:jc w:val="both"/>
        <w:rPr>
          <w:rFonts w:ascii="Times New Roman" w:hAnsi="Times New Roman"/>
          <w:b/>
          <w:bCs/>
          <w:sz w:val="24"/>
          <w:szCs w:val="24"/>
        </w:rPr>
      </w:pPr>
      <w:r w:rsidRPr="009E1EBA">
        <w:rPr>
          <w:rFonts w:ascii="Times New Roman" w:hAnsi="Times New Roman"/>
          <w:sz w:val="24"/>
          <w:szCs w:val="24"/>
        </w:rPr>
        <w:t xml:space="preserve">a) </w:t>
      </w:r>
      <w:r w:rsidRPr="009E1EBA">
        <w:rPr>
          <w:rFonts w:ascii="Times New Roman" w:hAnsi="Times New Roman"/>
          <w:strike/>
          <w:sz w:val="24"/>
          <w:szCs w:val="24"/>
        </w:rPr>
        <w:t>750</w:t>
      </w:r>
      <w:r w:rsidR="00496478" w:rsidRPr="009E1EBA">
        <w:rPr>
          <w:rFonts w:ascii="Times New Roman" w:hAnsi="Times New Roman"/>
          <w:sz w:val="24"/>
          <w:szCs w:val="24"/>
        </w:rPr>
        <w:t xml:space="preserve"> </w:t>
      </w:r>
      <w:r w:rsidR="00496478" w:rsidRPr="009E1EBA">
        <w:rPr>
          <w:rFonts w:ascii="Times New Roman" w:hAnsi="Times New Roman"/>
          <w:b/>
          <w:bCs/>
          <w:sz w:val="24"/>
          <w:szCs w:val="24"/>
        </w:rPr>
        <w:t>1</w:t>
      </w:r>
      <w:r w:rsidR="003118CC" w:rsidRPr="009E1EBA">
        <w:rPr>
          <w:rFonts w:ascii="Times New Roman" w:hAnsi="Times New Roman"/>
          <w:b/>
          <w:bCs/>
          <w:sz w:val="24"/>
          <w:szCs w:val="24"/>
        </w:rPr>
        <w:t xml:space="preserve"> </w:t>
      </w:r>
      <w:r w:rsidR="00496478" w:rsidRPr="009E1EBA">
        <w:rPr>
          <w:rFonts w:ascii="Times New Roman" w:hAnsi="Times New Roman"/>
          <w:b/>
          <w:bCs/>
          <w:sz w:val="24"/>
          <w:szCs w:val="24"/>
        </w:rPr>
        <w:t>650</w:t>
      </w:r>
      <w:r w:rsidRPr="009E1EBA">
        <w:rPr>
          <w:rFonts w:ascii="Times New Roman" w:hAnsi="Times New Roman"/>
          <w:sz w:val="24"/>
          <w:szCs w:val="24"/>
        </w:rPr>
        <w:t xml:space="preserve"> Kč za každý započatý kalendářní měsíc od rozhodnutí o povolení oddlužení do</w:t>
      </w:r>
      <w:r w:rsidR="00496478" w:rsidRPr="009E1EBA">
        <w:rPr>
          <w:rFonts w:ascii="Times New Roman" w:hAnsi="Times New Roman"/>
          <w:sz w:val="24"/>
          <w:szCs w:val="24"/>
        </w:rPr>
        <w:t xml:space="preserve"> </w:t>
      </w:r>
      <w:r w:rsidR="00496478" w:rsidRPr="009E1EBA">
        <w:rPr>
          <w:rFonts w:ascii="Times New Roman" w:hAnsi="Times New Roman"/>
          <w:b/>
          <w:bCs/>
          <w:sz w:val="24"/>
          <w:szCs w:val="24"/>
        </w:rPr>
        <w:t xml:space="preserve">rozhodnutí o schválení oddlužení a 750 Kč za každý započatý kalendářní měsíc </w:t>
      </w:r>
      <w:r w:rsidR="00B83321" w:rsidRPr="009E1EBA">
        <w:rPr>
          <w:rFonts w:ascii="Times New Roman" w:hAnsi="Times New Roman"/>
          <w:b/>
          <w:bCs/>
          <w:sz w:val="24"/>
          <w:szCs w:val="24"/>
        </w:rPr>
        <w:t xml:space="preserve">následující </w:t>
      </w:r>
      <w:r w:rsidR="00B40BDF" w:rsidRPr="009E1EBA">
        <w:rPr>
          <w:rFonts w:ascii="Times New Roman" w:hAnsi="Times New Roman"/>
          <w:b/>
          <w:bCs/>
          <w:sz w:val="24"/>
          <w:szCs w:val="24"/>
        </w:rPr>
        <w:t xml:space="preserve">po schválení oddlužení </w:t>
      </w:r>
      <w:r w:rsidR="00496478" w:rsidRPr="009E1EBA">
        <w:rPr>
          <w:rFonts w:ascii="Times New Roman" w:hAnsi="Times New Roman"/>
          <w:b/>
          <w:bCs/>
          <w:sz w:val="24"/>
          <w:szCs w:val="24"/>
        </w:rPr>
        <w:t>do</w:t>
      </w:r>
      <w:r w:rsidRPr="009E1EBA">
        <w:rPr>
          <w:rFonts w:ascii="Times New Roman" w:hAnsi="Times New Roman"/>
          <w:sz w:val="24"/>
          <w:szCs w:val="24"/>
        </w:rPr>
        <w:t xml:space="preserve"> </w:t>
      </w:r>
      <w:r w:rsidRPr="000A0B62">
        <w:rPr>
          <w:rFonts w:ascii="Times New Roman" w:hAnsi="Times New Roman"/>
          <w:sz w:val="24"/>
          <w:szCs w:val="24"/>
        </w:rPr>
        <w:t>skončení plnění splátkového kalendáře,</w:t>
      </w:r>
      <w:r w:rsidRPr="000A0B62">
        <w:rPr>
          <w:rFonts w:ascii="Times New Roman" w:hAnsi="Times New Roman"/>
          <w:sz w:val="21"/>
          <w:szCs w:val="21"/>
        </w:rPr>
        <w:t xml:space="preserve"> </w:t>
      </w:r>
    </w:p>
    <w:p w14:paraId="313F4C16"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t xml:space="preserve"> </w:t>
      </w:r>
    </w:p>
    <w:p w14:paraId="6456B072" w14:textId="65A2DF92"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 xml:space="preserve">b) z výtěžku zpeněžení dosaženého způsoby podle </w:t>
      </w:r>
      <w:hyperlink r:id="rId8" w:history="1">
        <w:r w:rsidRPr="000A0B62">
          <w:rPr>
            <w:rFonts w:ascii="Times New Roman" w:hAnsi="Times New Roman"/>
            <w:sz w:val="24"/>
            <w:szCs w:val="24"/>
          </w:rPr>
          <w:t>§ 286 insolvenčního zákona</w:t>
        </w:r>
      </w:hyperlink>
      <w:r w:rsidRPr="000A0B62">
        <w:rPr>
          <w:rFonts w:ascii="Times New Roman" w:hAnsi="Times New Roman"/>
          <w:sz w:val="24"/>
          <w:szCs w:val="24"/>
        </w:rPr>
        <w:t xml:space="preserve"> určeného k</w:t>
      </w:r>
      <w:r w:rsidR="002F5CD0" w:rsidRPr="000A0B62">
        <w:rPr>
          <w:rFonts w:ascii="Times New Roman" w:hAnsi="Times New Roman"/>
          <w:sz w:val="24"/>
          <w:szCs w:val="24"/>
        </w:rPr>
        <w:t> </w:t>
      </w:r>
      <w:r w:rsidRPr="000A0B62">
        <w:rPr>
          <w:rFonts w:ascii="Times New Roman" w:hAnsi="Times New Roman"/>
          <w:sz w:val="24"/>
          <w:szCs w:val="24"/>
        </w:rPr>
        <w:t xml:space="preserve">rozdělení mezi nezajištěné věřitele, zahrnujícího i částku připadající na odměnu insolvenčního správce, </w:t>
      </w:r>
    </w:p>
    <w:p w14:paraId="7F570935" w14:textId="77777777" w:rsidR="00543B3A" w:rsidRPr="000A0B62" w:rsidRDefault="00543B3A">
      <w:pPr>
        <w:widowControl w:val="0"/>
        <w:autoSpaceDE w:val="0"/>
        <w:autoSpaceDN w:val="0"/>
        <w:adjustRightInd w:val="0"/>
        <w:spacing w:after="0" w:line="240" w:lineRule="auto"/>
        <w:jc w:val="both"/>
        <w:rPr>
          <w:rFonts w:ascii="Times New Roman" w:hAnsi="Times New Roman"/>
          <w:sz w:val="2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5"/>
        <w:gridCol w:w="5897"/>
      </w:tblGrid>
      <w:tr w:rsidR="00172839" w:rsidRPr="000A0B62" w14:paraId="5DF04199" w14:textId="77777777" w:rsidTr="00980CC4">
        <w:trPr>
          <w:trHeight w:val="376"/>
        </w:trPr>
        <w:tc>
          <w:tcPr>
            <w:tcW w:w="0" w:type="auto"/>
            <w:shd w:val="clear" w:color="auto" w:fill="FFFFFF"/>
            <w:tcMar>
              <w:top w:w="15" w:type="dxa"/>
              <w:left w:w="75" w:type="dxa"/>
              <w:bottom w:w="15" w:type="dxa"/>
              <w:right w:w="75" w:type="dxa"/>
            </w:tcMar>
            <w:vAlign w:val="center"/>
            <w:hideMark/>
          </w:tcPr>
          <w:p w14:paraId="1CA56E30"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od 0 do 500 tis. Kč</w:t>
            </w:r>
          </w:p>
        </w:tc>
        <w:tc>
          <w:tcPr>
            <w:tcW w:w="0" w:type="auto"/>
            <w:shd w:val="clear" w:color="auto" w:fill="FFFFFF"/>
            <w:tcMar>
              <w:top w:w="15" w:type="dxa"/>
              <w:left w:w="75" w:type="dxa"/>
              <w:bottom w:w="15" w:type="dxa"/>
              <w:right w:w="75" w:type="dxa"/>
            </w:tcMar>
            <w:vAlign w:val="center"/>
            <w:hideMark/>
          </w:tcPr>
          <w:p w14:paraId="1180F691"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15 %</w:t>
            </w:r>
          </w:p>
        </w:tc>
      </w:tr>
      <w:tr w:rsidR="00172839" w:rsidRPr="000A0B62" w14:paraId="180DEC25" w14:textId="77777777" w:rsidTr="00980CC4">
        <w:trPr>
          <w:trHeight w:val="361"/>
        </w:trPr>
        <w:tc>
          <w:tcPr>
            <w:tcW w:w="0" w:type="auto"/>
            <w:shd w:val="clear" w:color="auto" w:fill="FFFFFF"/>
            <w:tcMar>
              <w:top w:w="15" w:type="dxa"/>
              <w:left w:w="75" w:type="dxa"/>
              <w:bottom w:w="15" w:type="dxa"/>
              <w:right w:w="75" w:type="dxa"/>
            </w:tcMar>
            <w:vAlign w:val="center"/>
            <w:hideMark/>
          </w:tcPr>
          <w:p w14:paraId="0FB3D242"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od 500 tis. Kč do 1 mil. Kč</w:t>
            </w:r>
          </w:p>
        </w:tc>
        <w:tc>
          <w:tcPr>
            <w:tcW w:w="0" w:type="auto"/>
            <w:shd w:val="clear" w:color="auto" w:fill="FFFFFF"/>
            <w:tcMar>
              <w:top w:w="15" w:type="dxa"/>
              <w:left w:w="75" w:type="dxa"/>
              <w:bottom w:w="15" w:type="dxa"/>
              <w:right w:w="75" w:type="dxa"/>
            </w:tcMar>
            <w:vAlign w:val="center"/>
            <w:hideMark/>
          </w:tcPr>
          <w:p w14:paraId="0095ECFF"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75 000 Kč + 9 % z částky přesahující 500 tis. Kč</w:t>
            </w:r>
          </w:p>
        </w:tc>
      </w:tr>
      <w:tr w:rsidR="00172839" w:rsidRPr="000A0B62" w14:paraId="5734E5AE" w14:textId="77777777" w:rsidTr="00980CC4">
        <w:trPr>
          <w:trHeight w:val="376"/>
        </w:trPr>
        <w:tc>
          <w:tcPr>
            <w:tcW w:w="0" w:type="auto"/>
            <w:shd w:val="clear" w:color="auto" w:fill="FFFFFF"/>
            <w:tcMar>
              <w:top w:w="15" w:type="dxa"/>
              <w:left w:w="75" w:type="dxa"/>
              <w:bottom w:w="15" w:type="dxa"/>
              <w:right w:w="75" w:type="dxa"/>
            </w:tcMar>
            <w:vAlign w:val="center"/>
            <w:hideMark/>
          </w:tcPr>
          <w:p w14:paraId="42DCE81E"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od 1 mil. Kč do 5 mil. Kč</w:t>
            </w:r>
          </w:p>
        </w:tc>
        <w:tc>
          <w:tcPr>
            <w:tcW w:w="0" w:type="auto"/>
            <w:shd w:val="clear" w:color="auto" w:fill="FFFFFF"/>
            <w:tcMar>
              <w:top w:w="15" w:type="dxa"/>
              <w:left w:w="75" w:type="dxa"/>
              <w:bottom w:w="15" w:type="dxa"/>
              <w:right w:w="75" w:type="dxa"/>
            </w:tcMar>
            <w:vAlign w:val="center"/>
            <w:hideMark/>
          </w:tcPr>
          <w:p w14:paraId="2FC18D98"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120 000 Kč + 4 % z částky přesahující 1 mil. Kč</w:t>
            </w:r>
          </w:p>
        </w:tc>
      </w:tr>
      <w:tr w:rsidR="00172839" w:rsidRPr="000A0B62" w14:paraId="7D569D83" w14:textId="77777777" w:rsidTr="00980CC4">
        <w:trPr>
          <w:trHeight w:val="361"/>
        </w:trPr>
        <w:tc>
          <w:tcPr>
            <w:tcW w:w="0" w:type="auto"/>
            <w:shd w:val="clear" w:color="auto" w:fill="FFFFFF"/>
            <w:tcMar>
              <w:top w:w="15" w:type="dxa"/>
              <w:left w:w="75" w:type="dxa"/>
              <w:bottom w:w="15" w:type="dxa"/>
              <w:right w:w="75" w:type="dxa"/>
            </w:tcMar>
            <w:vAlign w:val="center"/>
            <w:hideMark/>
          </w:tcPr>
          <w:p w14:paraId="57422B44"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od 5 mil. Kč do 10 mil. Kč</w:t>
            </w:r>
          </w:p>
        </w:tc>
        <w:tc>
          <w:tcPr>
            <w:tcW w:w="0" w:type="auto"/>
            <w:shd w:val="clear" w:color="auto" w:fill="FFFFFF"/>
            <w:tcMar>
              <w:top w:w="15" w:type="dxa"/>
              <w:left w:w="75" w:type="dxa"/>
              <w:bottom w:w="15" w:type="dxa"/>
              <w:right w:w="75" w:type="dxa"/>
            </w:tcMar>
            <w:vAlign w:val="center"/>
            <w:hideMark/>
          </w:tcPr>
          <w:p w14:paraId="2082C68B"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280 000 Kč + 3 % z částky přesahující 5 mil. Kč</w:t>
            </w:r>
          </w:p>
        </w:tc>
      </w:tr>
      <w:tr w:rsidR="00172839" w:rsidRPr="000A0B62" w14:paraId="3E618D7A" w14:textId="77777777" w:rsidTr="00980CC4">
        <w:trPr>
          <w:trHeight w:val="376"/>
        </w:trPr>
        <w:tc>
          <w:tcPr>
            <w:tcW w:w="0" w:type="auto"/>
            <w:shd w:val="clear" w:color="auto" w:fill="FFFFFF"/>
            <w:tcMar>
              <w:top w:w="15" w:type="dxa"/>
              <w:left w:w="75" w:type="dxa"/>
              <w:bottom w:w="15" w:type="dxa"/>
              <w:right w:w="75" w:type="dxa"/>
            </w:tcMar>
            <w:vAlign w:val="center"/>
            <w:hideMark/>
          </w:tcPr>
          <w:p w14:paraId="3DBE5DB3"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od 10 mil. Kč do 50 mil. Kč</w:t>
            </w:r>
          </w:p>
        </w:tc>
        <w:tc>
          <w:tcPr>
            <w:tcW w:w="0" w:type="auto"/>
            <w:shd w:val="clear" w:color="auto" w:fill="FFFFFF"/>
            <w:tcMar>
              <w:top w:w="15" w:type="dxa"/>
              <w:left w:w="75" w:type="dxa"/>
              <w:bottom w:w="15" w:type="dxa"/>
              <w:right w:w="75" w:type="dxa"/>
            </w:tcMar>
            <w:vAlign w:val="center"/>
            <w:hideMark/>
          </w:tcPr>
          <w:p w14:paraId="4B1D61C9"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430 000 Kč + 2 % z částky přesahující 10 mil. Kč</w:t>
            </w:r>
          </w:p>
        </w:tc>
      </w:tr>
      <w:tr w:rsidR="00172839" w:rsidRPr="000A0B62" w14:paraId="7478E88C" w14:textId="77777777" w:rsidTr="00980CC4">
        <w:trPr>
          <w:trHeight w:val="376"/>
        </w:trPr>
        <w:tc>
          <w:tcPr>
            <w:tcW w:w="0" w:type="auto"/>
            <w:shd w:val="clear" w:color="auto" w:fill="FFFFFF"/>
            <w:tcMar>
              <w:top w:w="15" w:type="dxa"/>
              <w:left w:w="75" w:type="dxa"/>
              <w:bottom w:w="15" w:type="dxa"/>
              <w:right w:w="75" w:type="dxa"/>
            </w:tcMar>
            <w:vAlign w:val="center"/>
            <w:hideMark/>
          </w:tcPr>
          <w:p w14:paraId="64E6237B"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od 50 mil. Kč</w:t>
            </w:r>
          </w:p>
        </w:tc>
        <w:tc>
          <w:tcPr>
            <w:tcW w:w="0" w:type="auto"/>
            <w:shd w:val="clear" w:color="auto" w:fill="FFFFFF"/>
            <w:tcMar>
              <w:top w:w="15" w:type="dxa"/>
              <w:left w:w="75" w:type="dxa"/>
              <w:bottom w:w="15" w:type="dxa"/>
              <w:right w:w="75" w:type="dxa"/>
            </w:tcMar>
            <w:vAlign w:val="center"/>
            <w:hideMark/>
          </w:tcPr>
          <w:p w14:paraId="6BEC0298" w14:textId="77777777" w:rsidR="00417BFE" w:rsidRPr="000A0B62" w:rsidRDefault="00417BFE" w:rsidP="00417BFE">
            <w:pPr>
              <w:spacing w:after="0" w:line="369" w:lineRule="atLeast"/>
              <w:textAlignment w:val="center"/>
              <w:rPr>
                <w:rFonts w:ascii="Times New Roman" w:eastAsia="Times New Roman" w:hAnsi="Times New Roman"/>
                <w:sz w:val="24"/>
                <w:szCs w:val="24"/>
              </w:rPr>
            </w:pPr>
            <w:r w:rsidRPr="000A0B62">
              <w:rPr>
                <w:rFonts w:ascii="Times New Roman" w:eastAsia="Times New Roman" w:hAnsi="Times New Roman"/>
                <w:sz w:val="24"/>
                <w:szCs w:val="24"/>
              </w:rPr>
              <w:t>1 230 000 Kč + 1 % z částky přesahující 50 mil. Kč,</w:t>
            </w:r>
          </w:p>
        </w:tc>
      </w:tr>
    </w:tbl>
    <w:p w14:paraId="6477B4C5" w14:textId="42FCE50F"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p>
    <w:p w14:paraId="5F5EE918" w14:textId="77777777"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 xml:space="preserve">c) 4 % z výtěžku zpeněžení dosaženého jinými způsoby určeného k rozdělení mezi nezajištěné věřitele, zahrnujícího i částku připadající na odměnu insolvenčního správce, a </w:t>
      </w:r>
    </w:p>
    <w:p w14:paraId="57211D67"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t xml:space="preserve"> </w:t>
      </w:r>
    </w:p>
    <w:p w14:paraId="2C71D089" w14:textId="77777777"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 xml:space="preserve">d) při zpeněžení majetku sloužícího k zajištění částku určenou podle § 1 odst. 1 a 2. </w:t>
      </w:r>
    </w:p>
    <w:p w14:paraId="2559E2A0"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lastRenderedPageBreak/>
        <w:t xml:space="preserve"> </w:t>
      </w:r>
    </w:p>
    <w:p w14:paraId="0457D936" w14:textId="16A59A0A"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ab/>
        <w:t xml:space="preserve">(3) Měsíční částka odměny insolvenčního správce určená podle odstavce 2 písm. a) se </w:t>
      </w:r>
    </w:p>
    <w:p w14:paraId="3934B23A"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t xml:space="preserve"> </w:t>
      </w:r>
    </w:p>
    <w:p w14:paraId="35A62B18" w14:textId="77777777" w:rsidR="000E5401" w:rsidRPr="000A0B62"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 xml:space="preserve">a) </w:t>
      </w:r>
      <w:proofErr w:type="gramStart"/>
      <w:r w:rsidRPr="000A0B62">
        <w:rPr>
          <w:rFonts w:ascii="Times New Roman" w:hAnsi="Times New Roman"/>
          <w:sz w:val="24"/>
          <w:szCs w:val="24"/>
        </w:rPr>
        <w:t>zvýší</w:t>
      </w:r>
      <w:proofErr w:type="gramEnd"/>
      <w:r w:rsidRPr="000A0B62">
        <w:rPr>
          <w:rFonts w:ascii="Times New Roman" w:hAnsi="Times New Roman"/>
          <w:sz w:val="24"/>
          <w:szCs w:val="24"/>
        </w:rPr>
        <w:t xml:space="preserve"> o 50 %, jestliže jde o oddlužení povolené na základě společného návrhu manželů, </w:t>
      </w:r>
    </w:p>
    <w:p w14:paraId="42D01142" w14:textId="77777777" w:rsidR="000E5401" w:rsidRPr="000A0B62" w:rsidRDefault="000E5401">
      <w:pPr>
        <w:widowControl w:val="0"/>
        <w:autoSpaceDE w:val="0"/>
        <w:autoSpaceDN w:val="0"/>
        <w:adjustRightInd w:val="0"/>
        <w:spacing w:after="0" w:line="240" w:lineRule="auto"/>
        <w:rPr>
          <w:rFonts w:ascii="Times New Roman" w:hAnsi="Times New Roman"/>
          <w:sz w:val="24"/>
          <w:szCs w:val="24"/>
        </w:rPr>
      </w:pPr>
      <w:r w:rsidRPr="000A0B62">
        <w:rPr>
          <w:rFonts w:ascii="Times New Roman" w:hAnsi="Times New Roman"/>
          <w:sz w:val="24"/>
          <w:szCs w:val="24"/>
        </w:rPr>
        <w:t xml:space="preserve"> </w:t>
      </w:r>
    </w:p>
    <w:p w14:paraId="2FE7EE42" w14:textId="77777777" w:rsidR="00C41138"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 xml:space="preserve">b) </w:t>
      </w:r>
      <w:proofErr w:type="gramStart"/>
      <w:r w:rsidRPr="000A0B62">
        <w:rPr>
          <w:rFonts w:ascii="Times New Roman" w:hAnsi="Times New Roman"/>
          <w:sz w:val="24"/>
          <w:szCs w:val="24"/>
        </w:rPr>
        <w:t>sníží</w:t>
      </w:r>
      <w:proofErr w:type="gramEnd"/>
      <w:r w:rsidRPr="000A0B62">
        <w:rPr>
          <w:rFonts w:ascii="Times New Roman" w:hAnsi="Times New Roman"/>
          <w:sz w:val="24"/>
          <w:szCs w:val="24"/>
        </w:rPr>
        <w:t xml:space="preserve"> o 70 % po dobu přerušení průběhu oddlužení</w:t>
      </w:r>
      <w:r w:rsidRPr="001A5DC6">
        <w:rPr>
          <w:rFonts w:ascii="Times New Roman" w:hAnsi="Times New Roman"/>
          <w:strike/>
          <w:sz w:val="24"/>
          <w:szCs w:val="24"/>
        </w:rPr>
        <w:t>.</w:t>
      </w:r>
      <w:r w:rsidR="00C41138" w:rsidRPr="001A5DC6">
        <w:rPr>
          <w:rFonts w:ascii="Times New Roman" w:hAnsi="Times New Roman"/>
          <w:b/>
          <w:bCs/>
          <w:sz w:val="24"/>
          <w:szCs w:val="24"/>
        </w:rPr>
        <w:t>,</w:t>
      </w:r>
    </w:p>
    <w:p w14:paraId="4B692885" w14:textId="77777777" w:rsidR="00C41138" w:rsidRDefault="00C41138">
      <w:pPr>
        <w:widowControl w:val="0"/>
        <w:autoSpaceDE w:val="0"/>
        <w:autoSpaceDN w:val="0"/>
        <w:adjustRightInd w:val="0"/>
        <w:spacing w:after="0" w:line="240" w:lineRule="auto"/>
        <w:jc w:val="both"/>
        <w:rPr>
          <w:rFonts w:ascii="Times New Roman" w:hAnsi="Times New Roman"/>
          <w:sz w:val="24"/>
          <w:szCs w:val="24"/>
        </w:rPr>
      </w:pPr>
    </w:p>
    <w:p w14:paraId="4332ED23" w14:textId="3FBF0DD6" w:rsidR="000E5401" w:rsidRPr="009E1EBA" w:rsidRDefault="00C41138">
      <w:pPr>
        <w:widowControl w:val="0"/>
        <w:autoSpaceDE w:val="0"/>
        <w:autoSpaceDN w:val="0"/>
        <w:adjustRightInd w:val="0"/>
        <w:spacing w:after="0" w:line="240" w:lineRule="auto"/>
        <w:jc w:val="both"/>
        <w:rPr>
          <w:rFonts w:ascii="Times New Roman" w:hAnsi="Times New Roman"/>
          <w:b/>
          <w:bCs/>
          <w:sz w:val="24"/>
          <w:szCs w:val="24"/>
        </w:rPr>
      </w:pPr>
      <w:r w:rsidRPr="009E1EBA">
        <w:rPr>
          <w:rFonts w:ascii="Times New Roman" w:hAnsi="Times New Roman"/>
          <w:b/>
          <w:bCs/>
          <w:sz w:val="24"/>
          <w:szCs w:val="24"/>
        </w:rPr>
        <w:t xml:space="preserve">c) </w:t>
      </w:r>
      <w:proofErr w:type="gramStart"/>
      <w:r w:rsidRPr="009E1EBA">
        <w:rPr>
          <w:rFonts w:ascii="Times New Roman" w:hAnsi="Times New Roman"/>
          <w:b/>
          <w:bCs/>
          <w:sz w:val="24"/>
          <w:szCs w:val="24"/>
        </w:rPr>
        <w:t>sníží</w:t>
      </w:r>
      <w:proofErr w:type="gramEnd"/>
      <w:r w:rsidRPr="009E1EBA">
        <w:rPr>
          <w:rFonts w:ascii="Times New Roman" w:hAnsi="Times New Roman"/>
          <w:b/>
          <w:bCs/>
          <w:sz w:val="24"/>
          <w:szCs w:val="24"/>
        </w:rPr>
        <w:t xml:space="preserve"> o jednu třetinu po dobu prodloužení průběhu oddlužení podle § 412b odst. 6 insolvenčního zákona.</w:t>
      </w:r>
      <w:r w:rsidR="000E5401" w:rsidRPr="009E1EBA">
        <w:rPr>
          <w:rFonts w:ascii="Times New Roman" w:hAnsi="Times New Roman"/>
          <w:b/>
          <w:bCs/>
          <w:sz w:val="24"/>
          <w:szCs w:val="24"/>
        </w:rPr>
        <w:t xml:space="preserve"> </w:t>
      </w:r>
    </w:p>
    <w:p w14:paraId="727525D4" w14:textId="5DA4DB1E" w:rsidR="00E04643" w:rsidRDefault="000E5401" w:rsidP="00971DE5">
      <w:pPr>
        <w:widowControl w:val="0"/>
        <w:autoSpaceDE w:val="0"/>
        <w:autoSpaceDN w:val="0"/>
        <w:adjustRightInd w:val="0"/>
        <w:spacing w:after="0" w:line="240" w:lineRule="auto"/>
        <w:rPr>
          <w:rFonts w:ascii="Times New Roman" w:hAnsi="Times New Roman"/>
          <w:sz w:val="24"/>
          <w:szCs w:val="24"/>
        </w:rPr>
      </w:pPr>
      <w:r w:rsidRPr="009E1EBA">
        <w:rPr>
          <w:rFonts w:ascii="Times New Roman" w:hAnsi="Times New Roman"/>
          <w:sz w:val="24"/>
          <w:szCs w:val="24"/>
        </w:rPr>
        <w:t xml:space="preserve"> </w:t>
      </w:r>
    </w:p>
    <w:p w14:paraId="7961C25C" w14:textId="435A5E71" w:rsidR="00361A2F" w:rsidRPr="00867DF8" w:rsidRDefault="00590ED0" w:rsidP="00867DF8">
      <w:pPr>
        <w:widowControl w:val="0"/>
        <w:autoSpaceDE w:val="0"/>
        <w:autoSpaceDN w:val="0"/>
        <w:adjustRightInd w:val="0"/>
        <w:spacing w:after="0" w:line="240" w:lineRule="auto"/>
        <w:ind w:firstLine="720"/>
        <w:jc w:val="both"/>
        <w:rPr>
          <w:rFonts w:ascii="Times New Roman" w:hAnsi="Times New Roman"/>
          <w:b/>
          <w:bCs/>
          <w:sz w:val="24"/>
          <w:szCs w:val="24"/>
        </w:rPr>
      </w:pPr>
      <w:bookmarkStart w:id="1" w:name="_Hlk172016320"/>
      <w:r>
        <w:rPr>
          <w:rFonts w:ascii="Times New Roman" w:hAnsi="Times New Roman"/>
          <w:b/>
          <w:bCs/>
          <w:sz w:val="24"/>
          <w:szCs w:val="24"/>
        </w:rPr>
        <w:t xml:space="preserve">(4) </w:t>
      </w:r>
      <w:r w:rsidR="00567356">
        <w:rPr>
          <w:rFonts w:ascii="Times New Roman" w:hAnsi="Times New Roman"/>
          <w:b/>
          <w:bCs/>
          <w:sz w:val="24"/>
          <w:szCs w:val="24"/>
        </w:rPr>
        <w:t xml:space="preserve">Je-li </w:t>
      </w:r>
      <w:r w:rsidR="00567356" w:rsidRPr="009E1EBA">
        <w:rPr>
          <w:rFonts w:ascii="Times New Roman" w:hAnsi="Times New Roman"/>
          <w:b/>
          <w:bCs/>
          <w:sz w:val="24"/>
          <w:szCs w:val="24"/>
        </w:rPr>
        <w:t>způsobem řešení dlužníkova úpadku oddlužení</w:t>
      </w:r>
      <w:r w:rsidR="00567356">
        <w:rPr>
          <w:rFonts w:ascii="Times New Roman" w:hAnsi="Times New Roman"/>
          <w:b/>
          <w:bCs/>
          <w:sz w:val="24"/>
          <w:szCs w:val="24"/>
        </w:rPr>
        <w:t xml:space="preserve"> </w:t>
      </w:r>
      <w:r w:rsidR="00567356" w:rsidRPr="00CE7BCA">
        <w:rPr>
          <w:rFonts w:ascii="Times New Roman" w:hAnsi="Times New Roman"/>
          <w:b/>
          <w:sz w:val="24"/>
          <w:szCs w:val="24"/>
        </w:rPr>
        <w:t>plněním splátkového kalendáře se zpeněžením majetkové podstaty</w:t>
      </w:r>
      <w:r w:rsidR="00567356">
        <w:rPr>
          <w:rFonts w:ascii="Times New Roman" w:hAnsi="Times New Roman"/>
          <w:b/>
          <w:sz w:val="24"/>
          <w:szCs w:val="24"/>
        </w:rPr>
        <w:t xml:space="preserve"> nebo není-li oddlužení schváleno, činí o</w:t>
      </w:r>
      <w:r w:rsidR="00567356">
        <w:rPr>
          <w:rFonts w:ascii="Times New Roman" w:hAnsi="Times New Roman"/>
          <w:b/>
          <w:bCs/>
          <w:sz w:val="24"/>
          <w:szCs w:val="24"/>
        </w:rPr>
        <w:t xml:space="preserve">dměna insolvenčního správce podle </w:t>
      </w:r>
      <w:r w:rsidR="00567356" w:rsidRPr="009E1EBA">
        <w:rPr>
          <w:rFonts w:ascii="Times New Roman" w:hAnsi="Times New Roman"/>
          <w:b/>
          <w:bCs/>
          <w:sz w:val="24"/>
          <w:szCs w:val="24"/>
        </w:rPr>
        <w:t>§</w:t>
      </w:r>
      <w:r w:rsidR="00567356">
        <w:rPr>
          <w:rFonts w:ascii="Times New Roman" w:hAnsi="Times New Roman"/>
          <w:b/>
          <w:bCs/>
          <w:sz w:val="24"/>
          <w:szCs w:val="24"/>
        </w:rPr>
        <w:t> </w:t>
      </w:r>
      <w:r w:rsidR="00567356" w:rsidRPr="009E1EBA">
        <w:rPr>
          <w:rFonts w:ascii="Times New Roman" w:hAnsi="Times New Roman"/>
          <w:b/>
          <w:bCs/>
          <w:sz w:val="24"/>
          <w:szCs w:val="24"/>
        </w:rPr>
        <w:t>2a, § 3 odst. 2 písm. a) a odst. 3</w:t>
      </w:r>
      <w:r>
        <w:rPr>
          <w:rFonts w:ascii="Times New Roman" w:hAnsi="Times New Roman"/>
          <w:b/>
          <w:bCs/>
          <w:sz w:val="24"/>
          <w:szCs w:val="24"/>
        </w:rPr>
        <w:t>, případně</w:t>
      </w:r>
      <w:r w:rsidR="00567356">
        <w:rPr>
          <w:rFonts w:ascii="Times New Roman" w:hAnsi="Times New Roman"/>
          <w:b/>
          <w:bCs/>
          <w:sz w:val="24"/>
          <w:szCs w:val="24"/>
        </w:rPr>
        <w:t xml:space="preserve"> zvýšená </w:t>
      </w:r>
      <w:r w:rsidR="00567356" w:rsidRPr="009E1EBA">
        <w:rPr>
          <w:rFonts w:ascii="Times New Roman" w:hAnsi="Times New Roman"/>
          <w:b/>
          <w:bCs/>
          <w:sz w:val="24"/>
          <w:szCs w:val="24"/>
        </w:rPr>
        <w:t xml:space="preserve">o daň z přidané hodnoty, </w:t>
      </w:r>
      <w:r w:rsidR="00567356">
        <w:rPr>
          <w:rFonts w:ascii="Times New Roman" w:hAnsi="Times New Roman"/>
          <w:b/>
          <w:bCs/>
          <w:sz w:val="24"/>
          <w:szCs w:val="24"/>
        </w:rPr>
        <w:t xml:space="preserve">nejvýše </w:t>
      </w:r>
      <w:r w:rsidR="00567356" w:rsidRPr="009E1EBA">
        <w:rPr>
          <w:rFonts w:ascii="Times New Roman" w:hAnsi="Times New Roman"/>
          <w:b/>
          <w:bCs/>
          <w:sz w:val="24"/>
          <w:szCs w:val="24"/>
        </w:rPr>
        <w:t>částku rovnající se součtu záloh</w:t>
      </w:r>
      <w:r w:rsidR="00567356" w:rsidRPr="009E1EBA">
        <w:rPr>
          <w:rFonts w:ascii="Times New Roman" w:hAnsi="Times New Roman"/>
        </w:rPr>
        <w:t xml:space="preserve"> </w:t>
      </w:r>
      <w:r w:rsidR="00567356" w:rsidRPr="009E1EBA">
        <w:rPr>
          <w:rFonts w:ascii="Times New Roman" w:hAnsi="Times New Roman"/>
          <w:b/>
          <w:bCs/>
          <w:sz w:val="24"/>
          <w:szCs w:val="24"/>
        </w:rPr>
        <w:t>uhrazených dlužníkem na odměnu insolvenčního správce</w:t>
      </w:r>
      <w:r w:rsidR="00567356">
        <w:rPr>
          <w:rFonts w:ascii="Times New Roman" w:hAnsi="Times New Roman"/>
          <w:b/>
          <w:sz w:val="24"/>
          <w:szCs w:val="24"/>
        </w:rPr>
        <w:t>.</w:t>
      </w:r>
      <w:r w:rsidR="00437AD2">
        <w:rPr>
          <w:rFonts w:ascii="Times New Roman" w:hAnsi="Times New Roman"/>
          <w:b/>
          <w:sz w:val="24"/>
          <w:szCs w:val="24"/>
        </w:rPr>
        <w:t xml:space="preserve"> </w:t>
      </w:r>
      <w:r w:rsidR="00361A2F">
        <w:rPr>
          <w:rFonts w:ascii="Times New Roman" w:hAnsi="Times New Roman"/>
          <w:b/>
          <w:sz w:val="24"/>
          <w:szCs w:val="24"/>
        </w:rPr>
        <w:t>O</w:t>
      </w:r>
      <w:r w:rsidR="00361A2F" w:rsidRPr="00361A2F">
        <w:rPr>
          <w:rFonts w:ascii="Times New Roman" w:hAnsi="Times New Roman"/>
          <w:b/>
          <w:sz w:val="24"/>
          <w:szCs w:val="24"/>
        </w:rPr>
        <w:t>dměna insolvenčního správce podle §</w:t>
      </w:r>
      <w:r w:rsidR="00867DF8">
        <w:rPr>
          <w:rFonts w:ascii="Times New Roman" w:hAnsi="Times New Roman"/>
          <w:b/>
          <w:sz w:val="24"/>
          <w:szCs w:val="24"/>
        </w:rPr>
        <w:t> </w:t>
      </w:r>
      <w:r w:rsidR="00361A2F" w:rsidRPr="00361A2F">
        <w:rPr>
          <w:rFonts w:ascii="Times New Roman" w:hAnsi="Times New Roman"/>
          <w:b/>
          <w:sz w:val="24"/>
          <w:szCs w:val="24"/>
        </w:rPr>
        <w:t>2a, § 3 odst. 2 písm. a) a odst. 3 činí 20 000 Kč a v případě oddlužení povoleného na základě společného návrhu manželů 30 000 Kč</w:t>
      </w:r>
      <w:r w:rsidR="00361A2F">
        <w:rPr>
          <w:rFonts w:ascii="Times New Roman" w:hAnsi="Times New Roman"/>
          <w:b/>
          <w:sz w:val="24"/>
          <w:szCs w:val="24"/>
        </w:rPr>
        <w:t>,</w:t>
      </w:r>
      <w:r w:rsidR="00361A2F" w:rsidRPr="00361A2F">
        <w:rPr>
          <w:rFonts w:ascii="Times New Roman" w:hAnsi="Times New Roman"/>
          <w:b/>
          <w:sz w:val="24"/>
          <w:szCs w:val="24"/>
        </w:rPr>
        <w:t xml:space="preserve"> </w:t>
      </w:r>
      <w:r w:rsidR="00361A2F">
        <w:rPr>
          <w:rFonts w:ascii="Times New Roman" w:hAnsi="Times New Roman"/>
          <w:b/>
          <w:bCs/>
          <w:sz w:val="24"/>
          <w:szCs w:val="24"/>
        </w:rPr>
        <w:t xml:space="preserve">nedosahuje-li </w:t>
      </w:r>
      <w:r w:rsidR="00361A2F" w:rsidRPr="00361A2F">
        <w:rPr>
          <w:rFonts w:ascii="Times New Roman" w:hAnsi="Times New Roman"/>
          <w:b/>
          <w:sz w:val="24"/>
          <w:szCs w:val="24"/>
        </w:rPr>
        <w:t xml:space="preserve">součet záloh uhrazených dlužníkem na odměnu insolvenčního správce této výše a </w:t>
      </w:r>
      <w:r w:rsidR="00867DF8">
        <w:rPr>
          <w:rFonts w:ascii="Times New Roman" w:hAnsi="Times New Roman"/>
          <w:b/>
          <w:sz w:val="24"/>
          <w:szCs w:val="24"/>
        </w:rPr>
        <w:t xml:space="preserve">podal-li </w:t>
      </w:r>
      <w:r w:rsidR="00361A2F" w:rsidRPr="00361A2F">
        <w:rPr>
          <w:rFonts w:ascii="Times New Roman" w:hAnsi="Times New Roman"/>
          <w:b/>
          <w:sz w:val="24"/>
          <w:szCs w:val="24"/>
        </w:rPr>
        <w:t>insolvenční správce zprávu pro oddlužení.</w:t>
      </w:r>
    </w:p>
    <w:bookmarkEnd w:id="1"/>
    <w:p w14:paraId="1217AB91" w14:textId="77777777" w:rsidR="00567356" w:rsidRPr="000A0B62" w:rsidRDefault="00567356" w:rsidP="00E04643">
      <w:pPr>
        <w:widowControl w:val="0"/>
        <w:autoSpaceDE w:val="0"/>
        <w:autoSpaceDN w:val="0"/>
        <w:adjustRightInd w:val="0"/>
        <w:spacing w:after="0" w:line="240" w:lineRule="auto"/>
        <w:jc w:val="both"/>
        <w:rPr>
          <w:rFonts w:ascii="Times New Roman" w:hAnsi="Times New Roman"/>
          <w:sz w:val="24"/>
          <w:szCs w:val="24"/>
        </w:rPr>
      </w:pPr>
    </w:p>
    <w:p w14:paraId="51A10A95" w14:textId="7B4866A0" w:rsidR="000E5401" w:rsidRDefault="000E5401">
      <w:pPr>
        <w:widowControl w:val="0"/>
        <w:autoSpaceDE w:val="0"/>
        <w:autoSpaceDN w:val="0"/>
        <w:adjustRightInd w:val="0"/>
        <w:spacing w:after="0" w:line="240" w:lineRule="auto"/>
        <w:jc w:val="both"/>
        <w:rPr>
          <w:rFonts w:ascii="Times New Roman" w:hAnsi="Times New Roman"/>
          <w:sz w:val="24"/>
          <w:szCs w:val="24"/>
        </w:rPr>
      </w:pPr>
      <w:r w:rsidRPr="000A0B62">
        <w:rPr>
          <w:rFonts w:ascii="Times New Roman" w:hAnsi="Times New Roman"/>
          <w:sz w:val="24"/>
          <w:szCs w:val="24"/>
        </w:rPr>
        <w:tab/>
      </w:r>
      <w:r w:rsidRPr="000A0B62">
        <w:rPr>
          <w:rFonts w:ascii="Times New Roman" w:hAnsi="Times New Roman"/>
          <w:strike/>
          <w:sz w:val="24"/>
          <w:szCs w:val="24"/>
        </w:rPr>
        <w:t>(4)</w:t>
      </w:r>
      <w:r w:rsidR="00301344" w:rsidRPr="00301344">
        <w:rPr>
          <w:rFonts w:ascii="Times New Roman" w:hAnsi="Times New Roman"/>
          <w:sz w:val="24"/>
          <w:szCs w:val="24"/>
        </w:rPr>
        <w:t xml:space="preserve"> </w:t>
      </w:r>
      <w:r w:rsidR="00E04643" w:rsidRPr="000A0B62">
        <w:rPr>
          <w:rFonts w:ascii="Times New Roman" w:hAnsi="Times New Roman"/>
          <w:b/>
          <w:bCs/>
          <w:sz w:val="24"/>
          <w:szCs w:val="24"/>
        </w:rPr>
        <w:t>(5)</w:t>
      </w:r>
      <w:r w:rsidRPr="000A0B62">
        <w:rPr>
          <w:rFonts w:ascii="Times New Roman" w:hAnsi="Times New Roman"/>
          <w:sz w:val="24"/>
          <w:szCs w:val="24"/>
        </w:rPr>
        <w:t xml:space="preserve"> Odměna insolvenčního správce podle odstavce 2 písm. b) činí nejméně 20 000 Kč; jestliže však bylo dosaženo výtěžku nižšího než 20 000 Kč, činí odměna insolvenčního správce dosažený výtěžek snížený o hotové výdaje insolvenčního správce. </w:t>
      </w:r>
    </w:p>
    <w:p w14:paraId="3BB6B39C" w14:textId="1E9F4DC3" w:rsidR="000A0B62" w:rsidRPr="009E1EBA" w:rsidRDefault="000A0B62" w:rsidP="009E1EBA">
      <w:pPr>
        <w:widowControl w:val="0"/>
        <w:autoSpaceDE w:val="0"/>
        <w:autoSpaceDN w:val="0"/>
        <w:adjustRightInd w:val="0"/>
        <w:spacing w:after="0" w:line="240" w:lineRule="auto"/>
        <w:rPr>
          <w:rFonts w:ascii="Times New Roman" w:hAnsi="Times New Roman"/>
          <w:sz w:val="24"/>
          <w:szCs w:val="24"/>
        </w:rPr>
      </w:pPr>
    </w:p>
    <w:p w14:paraId="3E22E45D" w14:textId="77777777" w:rsidR="00CE7E5F" w:rsidRPr="009E1EBA" w:rsidRDefault="00CE7E5F" w:rsidP="00CE7E5F">
      <w:pPr>
        <w:pStyle w:val="Paragraf"/>
        <w:spacing w:before="0"/>
        <w:rPr>
          <w:b/>
          <w:bCs/>
        </w:rPr>
      </w:pPr>
      <w:r w:rsidRPr="009E1EBA">
        <w:rPr>
          <w:b/>
          <w:bCs/>
        </w:rPr>
        <w:t xml:space="preserve">§ 7a </w:t>
      </w:r>
    </w:p>
    <w:p w14:paraId="5B9F9621" w14:textId="77777777" w:rsidR="00CE7E5F" w:rsidRPr="009E1EBA" w:rsidRDefault="00CE7E5F" w:rsidP="00CE7E5F">
      <w:pPr>
        <w:widowControl w:val="0"/>
        <w:autoSpaceDE w:val="0"/>
        <w:autoSpaceDN w:val="0"/>
        <w:adjustRightInd w:val="0"/>
        <w:spacing w:after="0" w:line="240" w:lineRule="auto"/>
        <w:rPr>
          <w:rFonts w:ascii="Times New Roman" w:hAnsi="Times New Roman"/>
          <w:sz w:val="24"/>
          <w:szCs w:val="24"/>
        </w:rPr>
      </w:pPr>
    </w:p>
    <w:p w14:paraId="144F61BB" w14:textId="0E49EAD1" w:rsidR="00CE7E5F" w:rsidRPr="009E1EBA" w:rsidRDefault="00CE7E5F" w:rsidP="00CE7E5F">
      <w:pPr>
        <w:widowControl w:val="0"/>
        <w:autoSpaceDE w:val="0"/>
        <w:autoSpaceDN w:val="0"/>
        <w:adjustRightInd w:val="0"/>
        <w:spacing w:after="0" w:line="240" w:lineRule="auto"/>
        <w:jc w:val="center"/>
        <w:rPr>
          <w:rFonts w:ascii="Times New Roman" w:hAnsi="Times New Roman"/>
          <w:b/>
          <w:bCs/>
          <w:sz w:val="24"/>
          <w:szCs w:val="24"/>
        </w:rPr>
      </w:pPr>
      <w:r w:rsidRPr="009E1EBA">
        <w:rPr>
          <w:rFonts w:ascii="Times New Roman" w:hAnsi="Times New Roman"/>
          <w:b/>
          <w:bCs/>
          <w:sz w:val="24"/>
          <w:szCs w:val="24"/>
        </w:rPr>
        <w:t>Nejvyšší přípustná výše srážky ze mzdy</w:t>
      </w:r>
      <w:r w:rsidR="0061781B" w:rsidRPr="009E1EBA">
        <w:rPr>
          <w:rFonts w:ascii="Times New Roman" w:hAnsi="Times New Roman"/>
          <w:b/>
          <w:bCs/>
          <w:sz w:val="24"/>
          <w:szCs w:val="24"/>
        </w:rPr>
        <w:t xml:space="preserve"> a nejnižší výše zálohy</w:t>
      </w:r>
    </w:p>
    <w:p w14:paraId="25175BB1" w14:textId="77777777" w:rsidR="00CE7E5F" w:rsidRPr="009E1EBA" w:rsidRDefault="00CE7E5F" w:rsidP="00DF4F2B">
      <w:pPr>
        <w:widowControl w:val="0"/>
        <w:autoSpaceDE w:val="0"/>
        <w:autoSpaceDN w:val="0"/>
        <w:adjustRightInd w:val="0"/>
        <w:spacing w:after="0" w:line="240" w:lineRule="auto"/>
        <w:jc w:val="both"/>
        <w:rPr>
          <w:rFonts w:ascii="Times New Roman" w:hAnsi="Times New Roman"/>
          <w:b/>
          <w:bCs/>
          <w:sz w:val="24"/>
          <w:szCs w:val="24"/>
        </w:rPr>
      </w:pPr>
    </w:p>
    <w:p w14:paraId="1CDCD8DC" w14:textId="583116E1" w:rsidR="00CE7E5F" w:rsidRPr="009E1EBA" w:rsidRDefault="00CE7E5F" w:rsidP="00602295">
      <w:pPr>
        <w:widowControl w:val="0"/>
        <w:autoSpaceDE w:val="0"/>
        <w:autoSpaceDN w:val="0"/>
        <w:adjustRightInd w:val="0"/>
        <w:spacing w:after="0" w:line="240" w:lineRule="auto"/>
        <w:ind w:firstLine="709"/>
        <w:jc w:val="both"/>
        <w:rPr>
          <w:rFonts w:ascii="Times New Roman" w:hAnsi="Times New Roman"/>
          <w:b/>
          <w:bCs/>
          <w:sz w:val="24"/>
          <w:szCs w:val="24"/>
        </w:rPr>
      </w:pPr>
      <w:r w:rsidRPr="009E1EBA">
        <w:rPr>
          <w:rFonts w:ascii="Times New Roman" w:hAnsi="Times New Roman"/>
          <w:b/>
          <w:bCs/>
          <w:sz w:val="24"/>
          <w:szCs w:val="24"/>
        </w:rPr>
        <w:t xml:space="preserve">(1) V období od rozhodnutí o povolení oddlužení do rozhodnutí o schválení oddlužení činí </w:t>
      </w:r>
      <w:r w:rsidR="004221DF" w:rsidRPr="009E1EBA">
        <w:rPr>
          <w:rFonts w:ascii="Times New Roman" w:hAnsi="Times New Roman"/>
          <w:b/>
          <w:bCs/>
          <w:sz w:val="24"/>
          <w:szCs w:val="24"/>
        </w:rPr>
        <w:t xml:space="preserve">nejvyšší přípustná </w:t>
      </w:r>
      <w:r w:rsidRPr="009E1EBA">
        <w:rPr>
          <w:rFonts w:ascii="Times New Roman" w:hAnsi="Times New Roman"/>
          <w:b/>
          <w:bCs/>
          <w:sz w:val="24"/>
          <w:szCs w:val="24"/>
        </w:rPr>
        <w:t xml:space="preserve">výše srážky ze mzdy podle § 136 odst. 3 insolvenčního zákona </w:t>
      </w:r>
      <w:r w:rsidR="0061781B" w:rsidRPr="009E1EBA">
        <w:rPr>
          <w:rFonts w:ascii="Times New Roman" w:hAnsi="Times New Roman"/>
          <w:b/>
          <w:bCs/>
          <w:sz w:val="24"/>
          <w:szCs w:val="24"/>
        </w:rPr>
        <w:t xml:space="preserve">a nejnižší výše zálohy podle § 136 odst. 5 insolvenčního zákona </w:t>
      </w:r>
      <w:r w:rsidRPr="009E1EBA">
        <w:rPr>
          <w:rFonts w:ascii="Times New Roman" w:hAnsi="Times New Roman"/>
          <w:b/>
          <w:bCs/>
          <w:sz w:val="24"/>
          <w:szCs w:val="24"/>
        </w:rPr>
        <w:t xml:space="preserve">1 800 Kč měsíčně </w:t>
      </w:r>
      <w:r w:rsidR="003658BC" w:rsidRPr="009E1EBA">
        <w:rPr>
          <w:rFonts w:ascii="Times New Roman" w:hAnsi="Times New Roman"/>
          <w:b/>
          <w:bCs/>
          <w:sz w:val="24"/>
          <w:szCs w:val="24"/>
        </w:rPr>
        <w:t>a v případě oddlužení povoleného na základě společného návrhu manželů</w:t>
      </w:r>
      <w:r w:rsidRPr="009E1EBA">
        <w:rPr>
          <w:rFonts w:ascii="Times New Roman" w:hAnsi="Times New Roman"/>
          <w:b/>
          <w:bCs/>
          <w:sz w:val="24"/>
          <w:szCs w:val="24"/>
        </w:rPr>
        <w:t xml:space="preserve"> 2 700 Kč měsíčně</w:t>
      </w:r>
      <w:r w:rsidR="004221DF" w:rsidRPr="009E1EBA">
        <w:rPr>
          <w:rFonts w:ascii="Times New Roman" w:hAnsi="Times New Roman"/>
          <w:b/>
          <w:bCs/>
          <w:sz w:val="24"/>
          <w:szCs w:val="24"/>
        </w:rPr>
        <w:t>.</w:t>
      </w:r>
      <w:r w:rsidRPr="009E1EBA">
        <w:rPr>
          <w:rFonts w:ascii="Times New Roman" w:hAnsi="Times New Roman"/>
          <w:b/>
          <w:bCs/>
          <w:sz w:val="24"/>
          <w:szCs w:val="24"/>
        </w:rPr>
        <w:t xml:space="preserve"> </w:t>
      </w:r>
    </w:p>
    <w:p w14:paraId="06D47DAC" w14:textId="77777777" w:rsidR="00CE7E5F" w:rsidRPr="009E1EBA" w:rsidRDefault="00CE7E5F" w:rsidP="00602295">
      <w:pPr>
        <w:widowControl w:val="0"/>
        <w:autoSpaceDE w:val="0"/>
        <w:autoSpaceDN w:val="0"/>
        <w:adjustRightInd w:val="0"/>
        <w:spacing w:after="0" w:line="240" w:lineRule="auto"/>
        <w:ind w:firstLine="709"/>
        <w:jc w:val="both"/>
        <w:rPr>
          <w:rFonts w:ascii="Times New Roman" w:hAnsi="Times New Roman"/>
          <w:b/>
          <w:bCs/>
          <w:sz w:val="24"/>
          <w:szCs w:val="24"/>
        </w:rPr>
      </w:pPr>
    </w:p>
    <w:p w14:paraId="60A9CBF9" w14:textId="71279E22" w:rsidR="00983968" w:rsidRPr="009E1EBA" w:rsidRDefault="00CE7E5F" w:rsidP="00602295">
      <w:pPr>
        <w:widowControl w:val="0"/>
        <w:autoSpaceDE w:val="0"/>
        <w:autoSpaceDN w:val="0"/>
        <w:adjustRightInd w:val="0"/>
        <w:spacing w:after="0" w:line="240" w:lineRule="auto"/>
        <w:ind w:firstLine="709"/>
        <w:jc w:val="both"/>
        <w:rPr>
          <w:rFonts w:ascii="Times New Roman" w:hAnsi="Times New Roman"/>
          <w:b/>
          <w:bCs/>
          <w:sz w:val="24"/>
          <w:szCs w:val="24"/>
        </w:rPr>
      </w:pPr>
      <w:r w:rsidRPr="009E1EBA">
        <w:rPr>
          <w:rFonts w:ascii="Times New Roman" w:hAnsi="Times New Roman"/>
          <w:b/>
          <w:bCs/>
          <w:sz w:val="24"/>
          <w:szCs w:val="24"/>
        </w:rPr>
        <w:t xml:space="preserve">(2) V období po skončení plnění splátkového kalendáře činí nejvyšší přípustná </w:t>
      </w:r>
      <w:r w:rsidR="0061781B" w:rsidRPr="009E1EBA">
        <w:rPr>
          <w:rFonts w:ascii="Times New Roman" w:hAnsi="Times New Roman"/>
          <w:b/>
          <w:bCs/>
          <w:sz w:val="24"/>
          <w:szCs w:val="24"/>
        </w:rPr>
        <w:t xml:space="preserve">výše </w:t>
      </w:r>
      <w:r w:rsidRPr="009E1EBA">
        <w:rPr>
          <w:rFonts w:ascii="Times New Roman" w:hAnsi="Times New Roman"/>
          <w:b/>
          <w:bCs/>
          <w:sz w:val="24"/>
          <w:szCs w:val="24"/>
        </w:rPr>
        <w:t>srážk</w:t>
      </w:r>
      <w:r w:rsidR="0061781B" w:rsidRPr="009E1EBA">
        <w:rPr>
          <w:rFonts w:ascii="Times New Roman" w:hAnsi="Times New Roman"/>
          <w:b/>
          <w:bCs/>
          <w:sz w:val="24"/>
          <w:szCs w:val="24"/>
        </w:rPr>
        <w:t>y</w:t>
      </w:r>
      <w:r w:rsidRPr="009E1EBA">
        <w:rPr>
          <w:rFonts w:ascii="Times New Roman" w:hAnsi="Times New Roman"/>
          <w:b/>
          <w:bCs/>
          <w:sz w:val="24"/>
          <w:szCs w:val="24"/>
        </w:rPr>
        <w:t xml:space="preserve"> ze mzdy podle § 406 odst. 3 písm. g) insolvenčního zákona</w:t>
      </w:r>
      <w:r w:rsidR="0061781B" w:rsidRPr="009E1EBA">
        <w:rPr>
          <w:rFonts w:ascii="Times New Roman" w:hAnsi="Times New Roman"/>
          <w:b/>
          <w:bCs/>
          <w:sz w:val="24"/>
          <w:szCs w:val="24"/>
        </w:rPr>
        <w:t xml:space="preserve"> </w:t>
      </w:r>
      <w:r w:rsidRPr="009E1EBA">
        <w:rPr>
          <w:rFonts w:ascii="Times New Roman" w:hAnsi="Times New Roman"/>
          <w:b/>
          <w:bCs/>
          <w:sz w:val="24"/>
          <w:szCs w:val="24"/>
        </w:rPr>
        <w:t xml:space="preserve">10 000 Kč měsíčně </w:t>
      </w:r>
      <w:r w:rsidR="003658BC" w:rsidRPr="009E1EBA">
        <w:rPr>
          <w:rFonts w:ascii="Times New Roman" w:hAnsi="Times New Roman"/>
          <w:b/>
          <w:bCs/>
          <w:sz w:val="24"/>
          <w:szCs w:val="24"/>
        </w:rPr>
        <w:t>a</w:t>
      </w:r>
      <w:r w:rsidR="006B2259">
        <w:rPr>
          <w:rFonts w:ascii="Times New Roman" w:hAnsi="Times New Roman"/>
          <w:b/>
          <w:bCs/>
          <w:sz w:val="24"/>
          <w:szCs w:val="24"/>
        </w:rPr>
        <w:t> </w:t>
      </w:r>
      <w:r w:rsidR="003658BC" w:rsidRPr="009E1EBA">
        <w:rPr>
          <w:rFonts w:ascii="Times New Roman" w:hAnsi="Times New Roman"/>
          <w:b/>
          <w:bCs/>
          <w:sz w:val="24"/>
          <w:szCs w:val="24"/>
        </w:rPr>
        <w:t>v</w:t>
      </w:r>
      <w:r w:rsidR="006B2259">
        <w:rPr>
          <w:rFonts w:ascii="Times New Roman" w:hAnsi="Times New Roman"/>
          <w:b/>
          <w:bCs/>
          <w:sz w:val="24"/>
          <w:szCs w:val="24"/>
        </w:rPr>
        <w:t> </w:t>
      </w:r>
      <w:r w:rsidR="003658BC" w:rsidRPr="009E1EBA">
        <w:rPr>
          <w:rFonts w:ascii="Times New Roman" w:hAnsi="Times New Roman"/>
          <w:b/>
          <w:bCs/>
          <w:sz w:val="24"/>
          <w:szCs w:val="24"/>
        </w:rPr>
        <w:t>případě oddlužení povoleného na základě společného návrhu manželů</w:t>
      </w:r>
      <w:r w:rsidR="00FF5B0D" w:rsidRPr="009E1EBA">
        <w:rPr>
          <w:rFonts w:ascii="Times New Roman" w:hAnsi="Times New Roman"/>
          <w:b/>
          <w:bCs/>
          <w:sz w:val="24"/>
          <w:szCs w:val="24"/>
        </w:rPr>
        <w:t xml:space="preserve"> </w:t>
      </w:r>
      <w:r w:rsidRPr="009E1EBA">
        <w:rPr>
          <w:rFonts w:ascii="Times New Roman" w:hAnsi="Times New Roman"/>
          <w:b/>
          <w:bCs/>
          <w:sz w:val="24"/>
          <w:szCs w:val="24"/>
        </w:rPr>
        <w:t xml:space="preserve">15 000 Kč měsíčně. </w:t>
      </w:r>
    </w:p>
    <w:p w14:paraId="4C9F47C9" w14:textId="3605C2B4" w:rsidR="004221DF" w:rsidRPr="009E1EBA" w:rsidRDefault="004221DF" w:rsidP="00602295">
      <w:pPr>
        <w:widowControl w:val="0"/>
        <w:autoSpaceDE w:val="0"/>
        <w:autoSpaceDN w:val="0"/>
        <w:adjustRightInd w:val="0"/>
        <w:spacing w:after="0" w:line="240" w:lineRule="auto"/>
        <w:ind w:firstLine="709"/>
        <w:jc w:val="both"/>
        <w:rPr>
          <w:rFonts w:ascii="Times New Roman" w:hAnsi="Times New Roman"/>
          <w:b/>
          <w:bCs/>
          <w:sz w:val="24"/>
          <w:szCs w:val="24"/>
        </w:rPr>
      </w:pPr>
    </w:p>
    <w:p w14:paraId="566CE5FC" w14:textId="34D2CBB8" w:rsidR="007710CB" w:rsidRPr="009E1EBA" w:rsidRDefault="004221DF" w:rsidP="00602295">
      <w:pPr>
        <w:widowControl w:val="0"/>
        <w:autoSpaceDE w:val="0"/>
        <w:autoSpaceDN w:val="0"/>
        <w:adjustRightInd w:val="0"/>
        <w:spacing w:after="0" w:line="240" w:lineRule="auto"/>
        <w:ind w:firstLine="709"/>
        <w:jc w:val="both"/>
        <w:rPr>
          <w:rFonts w:ascii="Times New Roman" w:hAnsi="Times New Roman"/>
          <w:b/>
          <w:bCs/>
          <w:sz w:val="24"/>
          <w:szCs w:val="24"/>
        </w:rPr>
      </w:pPr>
      <w:r w:rsidRPr="009E1EBA">
        <w:rPr>
          <w:rFonts w:ascii="Times New Roman" w:hAnsi="Times New Roman"/>
          <w:b/>
          <w:bCs/>
          <w:sz w:val="24"/>
          <w:szCs w:val="24"/>
        </w:rPr>
        <w:t>(3) Částky podle odstavce 1 a 2 se zvyšují o daň z přidané hodnoty, je-li insolvenční správce jejím plátcem.</w:t>
      </w:r>
    </w:p>
    <w:p w14:paraId="3E8E58F3" w14:textId="2C145A4D" w:rsidR="000E5401" w:rsidRDefault="000E5401" w:rsidP="000C1DA2">
      <w:pPr>
        <w:widowControl w:val="0"/>
        <w:autoSpaceDE w:val="0"/>
        <w:autoSpaceDN w:val="0"/>
        <w:adjustRightInd w:val="0"/>
        <w:spacing w:after="0" w:line="240" w:lineRule="auto"/>
        <w:jc w:val="both"/>
        <w:rPr>
          <w:rFonts w:ascii="Times New Roman" w:hAnsi="Times New Roman"/>
          <w:b/>
          <w:bCs/>
          <w:color w:val="FF0000"/>
          <w:sz w:val="24"/>
          <w:szCs w:val="24"/>
        </w:rPr>
      </w:pPr>
    </w:p>
    <w:p w14:paraId="369373E1" w14:textId="77777777" w:rsidR="00602295" w:rsidRPr="00602295" w:rsidRDefault="00602295" w:rsidP="00602295">
      <w:pPr>
        <w:widowControl w:val="0"/>
        <w:autoSpaceDE w:val="0"/>
        <w:autoSpaceDN w:val="0"/>
        <w:adjustRightInd w:val="0"/>
        <w:spacing w:after="0" w:line="240" w:lineRule="auto"/>
        <w:jc w:val="center"/>
        <w:rPr>
          <w:rFonts w:ascii="Times New Roman" w:hAnsi="Times New Roman"/>
          <w:sz w:val="24"/>
          <w:szCs w:val="24"/>
        </w:rPr>
      </w:pPr>
      <w:r w:rsidRPr="00602295">
        <w:rPr>
          <w:rFonts w:ascii="Times New Roman" w:hAnsi="Times New Roman"/>
          <w:sz w:val="24"/>
          <w:szCs w:val="24"/>
        </w:rPr>
        <w:t xml:space="preserve">§ 8 </w:t>
      </w:r>
    </w:p>
    <w:p w14:paraId="51D15A3A" w14:textId="77777777" w:rsidR="00602295" w:rsidRPr="00602295" w:rsidRDefault="00602295" w:rsidP="00602295">
      <w:pPr>
        <w:widowControl w:val="0"/>
        <w:autoSpaceDE w:val="0"/>
        <w:autoSpaceDN w:val="0"/>
        <w:adjustRightInd w:val="0"/>
        <w:spacing w:after="0" w:line="240" w:lineRule="auto"/>
        <w:rPr>
          <w:rFonts w:ascii="Times New Roman" w:hAnsi="Times New Roman"/>
          <w:sz w:val="24"/>
          <w:szCs w:val="24"/>
        </w:rPr>
      </w:pPr>
    </w:p>
    <w:p w14:paraId="677F3497" w14:textId="77777777" w:rsidR="00602295" w:rsidRPr="00602295" w:rsidRDefault="00602295" w:rsidP="00602295">
      <w:pPr>
        <w:widowControl w:val="0"/>
        <w:autoSpaceDE w:val="0"/>
        <w:autoSpaceDN w:val="0"/>
        <w:adjustRightInd w:val="0"/>
        <w:spacing w:after="0" w:line="240" w:lineRule="auto"/>
        <w:jc w:val="center"/>
        <w:rPr>
          <w:rFonts w:ascii="Times New Roman" w:hAnsi="Times New Roman"/>
          <w:b/>
          <w:bCs/>
          <w:sz w:val="24"/>
          <w:szCs w:val="24"/>
        </w:rPr>
      </w:pPr>
      <w:r w:rsidRPr="00602295">
        <w:rPr>
          <w:rFonts w:ascii="Times New Roman" w:hAnsi="Times New Roman"/>
          <w:b/>
          <w:bCs/>
          <w:sz w:val="24"/>
          <w:szCs w:val="24"/>
        </w:rPr>
        <w:t xml:space="preserve">Úhrada odměny a náhrady hotových výdajů insolvenčního správce státem </w:t>
      </w:r>
    </w:p>
    <w:p w14:paraId="161176AD" w14:textId="77777777" w:rsidR="00602295" w:rsidRPr="00602295" w:rsidRDefault="00602295" w:rsidP="00602295">
      <w:pPr>
        <w:widowControl w:val="0"/>
        <w:autoSpaceDE w:val="0"/>
        <w:autoSpaceDN w:val="0"/>
        <w:adjustRightInd w:val="0"/>
        <w:spacing w:after="0" w:line="240" w:lineRule="auto"/>
        <w:rPr>
          <w:rFonts w:ascii="Times New Roman" w:hAnsi="Times New Roman"/>
          <w:b/>
          <w:bCs/>
          <w:sz w:val="24"/>
          <w:szCs w:val="24"/>
        </w:rPr>
      </w:pPr>
    </w:p>
    <w:p w14:paraId="37027AF4" w14:textId="7EDAEDC3" w:rsidR="00602295" w:rsidRPr="00602295" w:rsidRDefault="00602295" w:rsidP="00602295">
      <w:pPr>
        <w:widowControl w:val="0"/>
        <w:autoSpaceDE w:val="0"/>
        <w:autoSpaceDN w:val="0"/>
        <w:adjustRightInd w:val="0"/>
        <w:spacing w:after="0" w:line="240" w:lineRule="auto"/>
        <w:jc w:val="both"/>
        <w:rPr>
          <w:rFonts w:ascii="Times New Roman" w:hAnsi="Times New Roman"/>
          <w:sz w:val="24"/>
          <w:szCs w:val="24"/>
        </w:rPr>
      </w:pPr>
      <w:r w:rsidRPr="00602295">
        <w:rPr>
          <w:rFonts w:ascii="Times New Roman" w:hAnsi="Times New Roman"/>
          <w:sz w:val="24"/>
          <w:szCs w:val="24"/>
        </w:rPr>
        <w:tab/>
        <w:t xml:space="preserve">(1) Nelze-li odměnu insolvenčního správce zcela nebo zčásti uhradit z majetkové podstaty nebo ze zálohy na náklady insolvenčního řízení, hradí ji stát v rozsahu, v jakém nemůže být uhrazena z těchto zdrojů, nejvýše však 50 000 Kč. </w:t>
      </w:r>
      <w:r w:rsidR="00971DE5">
        <w:rPr>
          <w:rFonts w:ascii="Times New Roman" w:hAnsi="Times New Roman"/>
          <w:b/>
          <w:bCs/>
          <w:sz w:val="24"/>
          <w:szCs w:val="24"/>
        </w:rPr>
        <w:t xml:space="preserve">Je-li </w:t>
      </w:r>
      <w:r w:rsidR="00971DE5" w:rsidRPr="009E1EBA">
        <w:rPr>
          <w:rFonts w:ascii="Times New Roman" w:hAnsi="Times New Roman"/>
          <w:b/>
          <w:bCs/>
          <w:sz w:val="24"/>
          <w:szCs w:val="24"/>
        </w:rPr>
        <w:t>způsobem řešení dlužníkova úpadku oddlužení</w:t>
      </w:r>
      <w:r w:rsidR="00971DE5">
        <w:rPr>
          <w:rFonts w:ascii="Times New Roman" w:hAnsi="Times New Roman"/>
          <w:b/>
          <w:bCs/>
          <w:sz w:val="24"/>
          <w:szCs w:val="24"/>
        </w:rPr>
        <w:t xml:space="preserve"> </w:t>
      </w:r>
      <w:r w:rsidR="00971DE5" w:rsidRPr="00CE7BCA">
        <w:rPr>
          <w:rFonts w:ascii="Times New Roman" w:hAnsi="Times New Roman"/>
          <w:b/>
          <w:sz w:val="24"/>
          <w:szCs w:val="24"/>
        </w:rPr>
        <w:t>plněním splátkového kalendáře se zpeněžením majetkové podstaty</w:t>
      </w:r>
      <w:r w:rsidR="00971DE5">
        <w:rPr>
          <w:rFonts w:ascii="Times New Roman" w:hAnsi="Times New Roman"/>
          <w:b/>
          <w:sz w:val="24"/>
          <w:szCs w:val="24"/>
        </w:rPr>
        <w:t xml:space="preserve"> nebo není-li oddlužení schváleno</w:t>
      </w:r>
      <w:r w:rsidR="00971DE5">
        <w:rPr>
          <w:rFonts w:ascii="Times New Roman" w:hAnsi="Times New Roman"/>
          <w:b/>
          <w:bCs/>
          <w:sz w:val="24"/>
          <w:szCs w:val="24"/>
        </w:rPr>
        <w:t xml:space="preserve">, </w:t>
      </w:r>
      <w:r w:rsidRPr="00971DE5">
        <w:rPr>
          <w:rFonts w:ascii="Times New Roman" w:hAnsi="Times New Roman"/>
          <w:b/>
          <w:bCs/>
          <w:sz w:val="24"/>
          <w:szCs w:val="24"/>
        </w:rPr>
        <w:t xml:space="preserve">hradí odměnu insolvenčního správce stát </w:t>
      </w:r>
      <w:r w:rsidRPr="00971DE5">
        <w:rPr>
          <w:rFonts w:ascii="Times New Roman" w:hAnsi="Times New Roman"/>
          <w:b/>
          <w:bCs/>
          <w:sz w:val="24"/>
          <w:szCs w:val="24"/>
        </w:rPr>
        <w:lastRenderedPageBreak/>
        <w:t>nejvýše v</w:t>
      </w:r>
      <w:r w:rsidR="00F61C99">
        <w:rPr>
          <w:rFonts w:ascii="Times New Roman" w:hAnsi="Times New Roman"/>
          <w:b/>
          <w:bCs/>
          <w:sz w:val="24"/>
          <w:szCs w:val="24"/>
        </w:rPr>
        <w:t> </w:t>
      </w:r>
      <w:r w:rsidR="00F61C99" w:rsidRPr="005A4A09">
        <w:rPr>
          <w:rFonts w:ascii="Times New Roman" w:hAnsi="Times New Roman"/>
          <w:b/>
          <w:bCs/>
          <w:sz w:val="24"/>
          <w:szCs w:val="24"/>
        </w:rPr>
        <w:t xml:space="preserve">rozsahu </w:t>
      </w:r>
      <w:r w:rsidR="00942DC2" w:rsidRPr="00361A2F">
        <w:rPr>
          <w:rFonts w:ascii="Times New Roman" w:hAnsi="Times New Roman"/>
          <w:b/>
          <w:sz w:val="24"/>
          <w:szCs w:val="24"/>
        </w:rPr>
        <w:t>20 000 Kč a v případě oddlužení povoleného na základě společného návrhu manželů 30 000 Kč</w:t>
      </w:r>
      <w:r w:rsidR="00971DE5">
        <w:rPr>
          <w:rFonts w:ascii="Times New Roman" w:hAnsi="Times New Roman"/>
          <w:b/>
          <w:bCs/>
          <w:sz w:val="24"/>
          <w:szCs w:val="24"/>
        </w:rPr>
        <w:t>.</w:t>
      </w:r>
    </w:p>
    <w:p w14:paraId="7533ADA4" w14:textId="77777777" w:rsidR="00602295" w:rsidRPr="00602295" w:rsidRDefault="00602295" w:rsidP="00602295">
      <w:pPr>
        <w:widowControl w:val="0"/>
        <w:autoSpaceDE w:val="0"/>
        <w:autoSpaceDN w:val="0"/>
        <w:adjustRightInd w:val="0"/>
        <w:spacing w:after="0" w:line="240" w:lineRule="auto"/>
        <w:rPr>
          <w:rFonts w:ascii="Times New Roman" w:hAnsi="Times New Roman"/>
          <w:sz w:val="24"/>
          <w:szCs w:val="24"/>
        </w:rPr>
      </w:pPr>
      <w:r w:rsidRPr="00602295">
        <w:rPr>
          <w:rFonts w:ascii="Times New Roman" w:hAnsi="Times New Roman"/>
          <w:sz w:val="24"/>
          <w:szCs w:val="24"/>
        </w:rPr>
        <w:t xml:space="preserve"> </w:t>
      </w:r>
    </w:p>
    <w:p w14:paraId="5A9965F6" w14:textId="77777777" w:rsidR="00602295" w:rsidRPr="00602295" w:rsidRDefault="00602295" w:rsidP="00602295">
      <w:pPr>
        <w:widowControl w:val="0"/>
        <w:autoSpaceDE w:val="0"/>
        <w:autoSpaceDN w:val="0"/>
        <w:adjustRightInd w:val="0"/>
        <w:spacing w:after="0" w:line="240" w:lineRule="auto"/>
        <w:jc w:val="both"/>
        <w:rPr>
          <w:rFonts w:ascii="Times New Roman" w:hAnsi="Times New Roman"/>
          <w:sz w:val="24"/>
          <w:szCs w:val="24"/>
        </w:rPr>
      </w:pPr>
      <w:r w:rsidRPr="00602295">
        <w:rPr>
          <w:rFonts w:ascii="Times New Roman" w:hAnsi="Times New Roman"/>
          <w:sz w:val="24"/>
          <w:szCs w:val="24"/>
        </w:rPr>
        <w:tab/>
        <w:t xml:space="preserve">(2) Nelze-li náhradu hotových výdajů insolvenčního správce zcela nebo zčásti uhradit z majetkové podstaty nebo ze zálohy na náklady insolvenčního řízení, hradí ji stát v rozsahu, v jakém nemůže být uhrazena z těchto zdrojů, nejvýše však 50 000 Kč. </w:t>
      </w:r>
    </w:p>
    <w:p w14:paraId="49E97219" w14:textId="77777777" w:rsidR="00602295" w:rsidRPr="00602295" w:rsidRDefault="00602295" w:rsidP="00602295">
      <w:pPr>
        <w:widowControl w:val="0"/>
        <w:autoSpaceDE w:val="0"/>
        <w:autoSpaceDN w:val="0"/>
        <w:adjustRightInd w:val="0"/>
        <w:spacing w:after="0" w:line="240" w:lineRule="auto"/>
        <w:rPr>
          <w:rFonts w:ascii="Times New Roman" w:hAnsi="Times New Roman"/>
          <w:sz w:val="24"/>
          <w:szCs w:val="24"/>
        </w:rPr>
      </w:pPr>
      <w:r w:rsidRPr="00602295">
        <w:rPr>
          <w:rFonts w:ascii="Times New Roman" w:hAnsi="Times New Roman"/>
          <w:sz w:val="24"/>
          <w:szCs w:val="24"/>
        </w:rPr>
        <w:t xml:space="preserve"> </w:t>
      </w:r>
    </w:p>
    <w:p w14:paraId="1BCAF9DB" w14:textId="77777777" w:rsidR="00602295" w:rsidRPr="00602295" w:rsidRDefault="00602295" w:rsidP="00602295">
      <w:pPr>
        <w:widowControl w:val="0"/>
        <w:autoSpaceDE w:val="0"/>
        <w:autoSpaceDN w:val="0"/>
        <w:adjustRightInd w:val="0"/>
        <w:spacing w:after="0" w:line="240" w:lineRule="auto"/>
        <w:jc w:val="both"/>
        <w:rPr>
          <w:rFonts w:ascii="Times New Roman" w:hAnsi="Times New Roman"/>
          <w:sz w:val="24"/>
          <w:szCs w:val="24"/>
        </w:rPr>
      </w:pPr>
      <w:r w:rsidRPr="00602295">
        <w:rPr>
          <w:rFonts w:ascii="Times New Roman" w:hAnsi="Times New Roman"/>
          <w:sz w:val="24"/>
          <w:szCs w:val="24"/>
        </w:rPr>
        <w:tab/>
        <w:t xml:space="preserve">(3) V případě, kdy jsou odměna insolvenčního správce a jeho hotové výdaje hrazeny státem, vyplácí tyto částky insolvenční soud. </w:t>
      </w:r>
    </w:p>
    <w:p w14:paraId="1783296D" w14:textId="77777777" w:rsidR="00602295" w:rsidRDefault="00602295" w:rsidP="000C1DA2">
      <w:pPr>
        <w:widowControl w:val="0"/>
        <w:autoSpaceDE w:val="0"/>
        <w:autoSpaceDN w:val="0"/>
        <w:adjustRightInd w:val="0"/>
        <w:spacing w:after="0" w:line="240" w:lineRule="auto"/>
        <w:jc w:val="both"/>
        <w:rPr>
          <w:rFonts w:ascii="Times New Roman" w:hAnsi="Times New Roman"/>
          <w:b/>
          <w:bCs/>
          <w:color w:val="FF0000"/>
          <w:sz w:val="24"/>
          <w:szCs w:val="24"/>
        </w:rPr>
      </w:pPr>
    </w:p>
    <w:p w14:paraId="6EAE3B2B" w14:textId="77777777" w:rsidR="0026171A" w:rsidRDefault="0026171A" w:rsidP="000C1DA2">
      <w:pPr>
        <w:widowControl w:val="0"/>
        <w:autoSpaceDE w:val="0"/>
        <w:autoSpaceDN w:val="0"/>
        <w:adjustRightInd w:val="0"/>
        <w:spacing w:after="0" w:line="240" w:lineRule="auto"/>
        <w:jc w:val="both"/>
        <w:rPr>
          <w:rFonts w:ascii="Times New Roman" w:hAnsi="Times New Roman"/>
          <w:b/>
          <w:bCs/>
          <w:color w:val="FF0000"/>
          <w:sz w:val="24"/>
          <w:szCs w:val="24"/>
        </w:rPr>
      </w:pPr>
    </w:p>
    <w:p w14:paraId="0183A1B9" w14:textId="77777777" w:rsidR="0026171A" w:rsidRDefault="0026171A" w:rsidP="000C1DA2">
      <w:pPr>
        <w:widowControl w:val="0"/>
        <w:autoSpaceDE w:val="0"/>
        <w:autoSpaceDN w:val="0"/>
        <w:adjustRightInd w:val="0"/>
        <w:spacing w:after="0" w:line="240" w:lineRule="auto"/>
        <w:jc w:val="both"/>
        <w:rPr>
          <w:rFonts w:ascii="Times New Roman" w:hAnsi="Times New Roman"/>
          <w:b/>
          <w:bCs/>
          <w:color w:val="FF0000"/>
          <w:sz w:val="24"/>
          <w:szCs w:val="24"/>
        </w:rPr>
      </w:pPr>
    </w:p>
    <w:p w14:paraId="1F97AB0B" w14:textId="77777777" w:rsidR="0026171A" w:rsidRPr="0026171A" w:rsidRDefault="0026171A" w:rsidP="0026171A">
      <w:pPr>
        <w:widowControl w:val="0"/>
        <w:autoSpaceDE w:val="0"/>
        <w:autoSpaceDN w:val="0"/>
        <w:adjustRightInd w:val="0"/>
        <w:spacing w:after="0" w:line="240" w:lineRule="auto"/>
        <w:jc w:val="center"/>
        <w:rPr>
          <w:rFonts w:ascii="Times New Roman" w:eastAsia="Times New Roman" w:hAnsi="Times New Roman"/>
          <w:b/>
          <w:sz w:val="24"/>
          <w:szCs w:val="24"/>
        </w:rPr>
      </w:pPr>
      <w:r w:rsidRPr="0026171A">
        <w:rPr>
          <w:rFonts w:ascii="Times New Roman" w:eastAsia="Times New Roman" w:hAnsi="Times New Roman"/>
          <w:b/>
          <w:sz w:val="24"/>
          <w:szCs w:val="24"/>
        </w:rPr>
        <w:t>Přechodné ustanovení</w:t>
      </w:r>
    </w:p>
    <w:p w14:paraId="18898CC8" w14:textId="77777777" w:rsidR="0026171A" w:rsidRPr="0026171A" w:rsidRDefault="0026171A" w:rsidP="0026171A">
      <w:pPr>
        <w:widowControl w:val="0"/>
        <w:autoSpaceDE w:val="0"/>
        <w:autoSpaceDN w:val="0"/>
        <w:adjustRightInd w:val="0"/>
        <w:spacing w:after="0" w:line="240" w:lineRule="auto"/>
        <w:jc w:val="both"/>
        <w:rPr>
          <w:rFonts w:ascii="Times New Roman" w:eastAsia="Times New Roman" w:hAnsi="Times New Roman"/>
          <w:sz w:val="24"/>
          <w:szCs w:val="24"/>
        </w:rPr>
      </w:pPr>
    </w:p>
    <w:p w14:paraId="6FEA8894" w14:textId="77777777" w:rsidR="0026171A" w:rsidRPr="0026171A" w:rsidRDefault="0026171A" w:rsidP="0026171A">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26171A">
        <w:rPr>
          <w:rFonts w:ascii="Times New Roman" w:eastAsia="Times New Roman" w:hAnsi="Times New Roman"/>
          <w:sz w:val="24"/>
          <w:szCs w:val="24"/>
        </w:rPr>
        <w:t xml:space="preserve">V insolvenčních řízeních zahájených přede dnem nabytí účinnosti této vyhlášky, se použije vyhláška č. </w:t>
      </w:r>
      <w:hyperlink r:id="rId9" w:history="1">
        <w:r w:rsidRPr="0026171A">
          <w:rPr>
            <w:rFonts w:ascii="Times New Roman" w:eastAsia="Times New Roman" w:hAnsi="Times New Roman"/>
            <w:sz w:val="24"/>
            <w:szCs w:val="24"/>
          </w:rPr>
          <w:t>313/2007 Sb.</w:t>
        </w:r>
      </w:hyperlink>
      <w:r w:rsidRPr="0026171A">
        <w:rPr>
          <w:rFonts w:ascii="Times New Roman" w:eastAsia="Times New Roman" w:hAnsi="Times New Roman"/>
          <w:sz w:val="24"/>
          <w:szCs w:val="24"/>
        </w:rPr>
        <w:t xml:space="preserve">, ve znění účinném přede dnem nabytí účinnosti této vyhlášky. </w:t>
      </w:r>
    </w:p>
    <w:p w14:paraId="13869140" w14:textId="77777777" w:rsidR="0026171A" w:rsidRPr="0026171A" w:rsidRDefault="0026171A" w:rsidP="0026171A">
      <w:pPr>
        <w:widowControl w:val="0"/>
        <w:autoSpaceDE w:val="0"/>
        <w:autoSpaceDN w:val="0"/>
        <w:adjustRightInd w:val="0"/>
        <w:spacing w:after="0" w:line="240" w:lineRule="auto"/>
        <w:jc w:val="both"/>
        <w:rPr>
          <w:rFonts w:ascii="Times New Roman" w:eastAsia="Times New Roman" w:hAnsi="Times New Roman"/>
          <w:kern w:val="2"/>
          <w:sz w:val="24"/>
          <w:szCs w:val="24"/>
        </w:rPr>
      </w:pPr>
    </w:p>
    <w:p w14:paraId="48982CAB" w14:textId="77777777" w:rsidR="0026171A" w:rsidRPr="0026171A" w:rsidRDefault="0026171A" w:rsidP="0026171A">
      <w:pPr>
        <w:widowControl w:val="0"/>
        <w:autoSpaceDE w:val="0"/>
        <w:autoSpaceDN w:val="0"/>
        <w:adjustRightInd w:val="0"/>
        <w:spacing w:after="0" w:line="240" w:lineRule="auto"/>
        <w:rPr>
          <w:rFonts w:ascii="Times New Roman" w:eastAsia="Times New Roman" w:hAnsi="Times New Roman"/>
          <w:b/>
          <w:bCs/>
          <w:sz w:val="24"/>
          <w:szCs w:val="24"/>
        </w:rPr>
      </w:pPr>
    </w:p>
    <w:p w14:paraId="10F685EC" w14:textId="77777777" w:rsidR="0026171A" w:rsidRPr="0026171A" w:rsidRDefault="0026171A" w:rsidP="0026171A">
      <w:pPr>
        <w:widowControl w:val="0"/>
        <w:autoSpaceDE w:val="0"/>
        <w:autoSpaceDN w:val="0"/>
        <w:adjustRightInd w:val="0"/>
        <w:spacing w:after="0" w:line="240" w:lineRule="auto"/>
        <w:jc w:val="center"/>
        <w:rPr>
          <w:rFonts w:ascii="Times New Roman" w:eastAsia="Times New Roman" w:hAnsi="Times New Roman"/>
          <w:b/>
          <w:bCs/>
          <w:sz w:val="24"/>
          <w:szCs w:val="24"/>
        </w:rPr>
      </w:pPr>
      <w:r w:rsidRPr="0026171A">
        <w:rPr>
          <w:rFonts w:ascii="Times New Roman" w:eastAsia="Times New Roman" w:hAnsi="Times New Roman"/>
          <w:b/>
          <w:bCs/>
          <w:sz w:val="24"/>
          <w:szCs w:val="24"/>
        </w:rPr>
        <w:t>Účinnost</w:t>
      </w:r>
    </w:p>
    <w:p w14:paraId="5C7C747E" w14:textId="77777777" w:rsidR="0026171A" w:rsidRPr="0026171A" w:rsidRDefault="0026171A" w:rsidP="0026171A">
      <w:pPr>
        <w:widowControl w:val="0"/>
        <w:autoSpaceDE w:val="0"/>
        <w:autoSpaceDN w:val="0"/>
        <w:adjustRightInd w:val="0"/>
        <w:spacing w:after="0" w:line="240" w:lineRule="auto"/>
        <w:jc w:val="both"/>
        <w:rPr>
          <w:rFonts w:ascii="Times New Roman" w:eastAsia="Times New Roman" w:hAnsi="Times New Roman"/>
          <w:sz w:val="24"/>
          <w:szCs w:val="24"/>
        </w:rPr>
      </w:pPr>
    </w:p>
    <w:p w14:paraId="2D8DE3BC" w14:textId="77777777" w:rsidR="0026171A" w:rsidRPr="0026171A" w:rsidRDefault="0026171A" w:rsidP="0026171A">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26171A">
        <w:rPr>
          <w:rFonts w:ascii="Times New Roman" w:eastAsia="Times New Roman" w:hAnsi="Times New Roman"/>
          <w:sz w:val="24"/>
          <w:szCs w:val="24"/>
        </w:rPr>
        <w:t>Tato vyhláška nabývá účinnosti prvním dnem kalendářního měsíce následujícího po dni jejího vyhlášení.</w:t>
      </w:r>
    </w:p>
    <w:p w14:paraId="37667498" w14:textId="77777777" w:rsidR="0026171A" w:rsidRPr="0026171A" w:rsidRDefault="0026171A" w:rsidP="0026171A">
      <w:pPr>
        <w:widowControl w:val="0"/>
        <w:autoSpaceDE w:val="0"/>
        <w:autoSpaceDN w:val="0"/>
        <w:adjustRightInd w:val="0"/>
        <w:spacing w:after="0" w:line="240" w:lineRule="auto"/>
        <w:jc w:val="both"/>
        <w:rPr>
          <w:rFonts w:ascii="Courier" w:eastAsia="Times New Roman" w:hAnsi="Courier" w:cs="Arial"/>
          <w:sz w:val="18"/>
          <w:szCs w:val="18"/>
        </w:rPr>
      </w:pPr>
    </w:p>
    <w:p w14:paraId="5F35E93A" w14:textId="77777777" w:rsidR="0026171A" w:rsidRPr="000C1DA2" w:rsidRDefault="0026171A" w:rsidP="000C1DA2">
      <w:pPr>
        <w:widowControl w:val="0"/>
        <w:autoSpaceDE w:val="0"/>
        <w:autoSpaceDN w:val="0"/>
        <w:adjustRightInd w:val="0"/>
        <w:spacing w:after="0" w:line="240" w:lineRule="auto"/>
        <w:jc w:val="both"/>
        <w:rPr>
          <w:rFonts w:ascii="Times New Roman" w:hAnsi="Times New Roman"/>
          <w:b/>
          <w:bCs/>
          <w:color w:val="FF0000"/>
          <w:sz w:val="24"/>
          <w:szCs w:val="24"/>
        </w:rPr>
      </w:pPr>
    </w:p>
    <w:sectPr w:rsidR="0026171A" w:rsidRPr="000C1DA2">
      <w:footerReference w:type="default" r:id="rId10"/>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C77" w14:textId="77777777" w:rsidR="00486C39" w:rsidRDefault="00486C39" w:rsidP="00396826">
      <w:pPr>
        <w:spacing w:after="0" w:line="240" w:lineRule="auto"/>
      </w:pPr>
      <w:r>
        <w:separator/>
      </w:r>
    </w:p>
  </w:endnote>
  <w:endnote w:type="continuationSeparator" w:id="0">
    <w:p w14:paraId="3F5C1C6A" w14:textId="77777777" w:rsidR="00486C39" w:rsidRDefault="00486C39" w:rsidP="0039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309020205020404"/>
    <w:charset w:val="00"/>
    <w:family w:val="modern"/>
    <w:notTrueType/>
    <w:pitch w:val="fixed"/>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07474510"/>
      <w:docPartObj>
        <w:docPartGallery w:val="Page Numbers (Bottom of Page)"/>
        <w:docPartUnique/>
      </w:docPartObj>
    </w:sdtPr>
    <w:sdtContent>
      <w:p w14:paraId="6D73212F" w14:textId="3FDDDB59" w:rsidR="00E77F23" w:rsidRPr="00396826" w:rsidRDefault="00E77F23">
        <w:pPr>
          <w:pStyle w:val="Zpat"/>
          <w:jc w:val="center"/>
          <w:rPr>
            <w:rFonts w:ascii="Times New Roman" w:hAnsi="Times New Roman"/>
            <w:sz w:val="24"/>
            <w:szCs w:val="24"/>
          </w:rPr>
        </w:pPr>
        <w:r w:rsidRPr="00396826">
          <w:rPr>
            <w:rFonts w:ascii="Times New Roman" w:hAnsi="Times New Roman"/>
            <w:sz w:val="24"/>
            <w:szCs w:val="24"/>
          </w:rPr>
          <w:fldChar w:fldCharType="begin"/>
        </w:r>
        <w:r w:rsidRPr="00396826">
          <w:rPr>
            <w:rFonts w:ascii="Times New Roman" w:hAnsi="Times New Roman"/>
            <w:sz w:val="24"/>
            <w:szCs w:val="24"/>
          </w:rPr>
          <w:instrText>PAGE   \* MERGEFORMAT</w:instrText>
        </w:r>
        <w:r w:rsidRPr="00396826">
          <w:rPr>
            <w:rFonts w:ascii="Times New Roman" w:hAnsi="Times New Roman"/>
            <w:sz w:val="24"/>
            <w:szCs w:val="24"/>
          </w:rPr>
          <w:fldChar w:fldCharType="separate"/>
        </w:r>
        <w:r w:rsidR="00CA5C0B">
          <w:rPr>
            <w:rFonts w:ascii="Times New Roman" w:hAnsi="Times New Roman"/>
            <w:noProof/>
            <w:sz w:val="24"/>
            <w:szCs w:val="24"/>
          </w:rPr>
          <w:t>3</w:t>
        </w:r>
        <w:r w:rsidRPr="00396826">
          <w:rPr>
            <w:rFonts w:ascii="Times New Roman" w:hAnsi="Times New Roman"/>
            <w:sz w:val="24"/>
            <w:szCs w:val="24"/>
          </w:rPr>
          <w:fldChar w:fldCharType="end"/>
        </w:r>
      </w:p>
    </w:sdtContent>
  </w:sdt>
  <w:p w14:paraId="481FBD53" w14:textId="77777777" w:rsidR="00E77F23" w:rsidRDefault="00E77F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08AD" w14:textId="77777777" w:rsidR="00486C39" w:rsidRDefault="00486C39" w:rsidP="00396826">
      <w:pPr>
        <w:spacing w:after="0" w:line="240" w:lineRule="auto"/>
      </w:pPr>
      <w:r>
        <w:separator/>
      </w:r>
    </w:p>
  </w:footnote>
  <w:footnote w:type="continuationSeparator" w:id="0">
    <w:p w14:paraId="3C5A2F84" w14:textId="77777777" w:rsidR="00486C39" w:rsidRDefault="00486C39" w:rsidP="0039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F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210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7A"/>
    <w:rsid w:val="00001DA5"/>
    <w:rsid w:val="00013E51"/>
    <w:rsid w:val="00020DB8"/>
    <w:rsid w:val="0007445B"/>
    <w:rsid w:val="00074B0C"/>
    <w:rsid w:val="00075306"/>
    <w:rsid w:val="00084070"/>
    <w:rsid w:val="000A0B62"/>
    <w:rsid w:val="000A52FC"/>
    <w:rsid w:val="000C1DA2"/>
    <w:rsid w:val="000E3814"/>
    <w:rsid w:val="000E5401"/>
    <w:rsid w:val="000F1F77"/>
    <w:rsid w:val="000F2126"/>
    <w:rsid w:val="00110317"/>
    <w:rsid w:val="00113B47"/>
    <w:rsid w:val="00117D25"/>
    <w:rsid w:val="0014091B"/>
    <w:rsid w:val="001523D9"/>
    <w:rsid w:val="00172839"/>
    <w:rsid w:val="00181E44"/>
    <w:rsid w:val="001A132B"/>
    <w:rsid w:val="001A5DC6"/>
    <w:rsid w:val="001C29D1"/>
    <w:rsid w:val="001D5995"/>
    <w:rsid w:val="001E5978"/>
    <w:rsid w:val="001E66A1"/>
    <w:rsid w:val="001F0C6E"/>
    <w:rsid w:val="001F451E"/>
    <w:rsid w:val="00201D88"/>
    <w:rsid w:val="0020530E"/>
    <w:rsid w:val="00221380"/>
    <w:rsid w:val="00253731"/>
    <w:rsid w:val="0026171A"/>
    <w:rsid w:val="002632A8"/>
    <w:rsid w:val="002641D9"/>
    <w:rsid w:val="00274CE4"/>
    <w:rsid w:val="002E1448"/>
    <w:rsid w:val="002F5CD0"/>
    <w:rsid w:val="00301344"/>
    <w:rsid w:val="003118CC"/>
    <w:rsid w:val="003125B2"/>
    <w:rsid w:val="0035143C"/>
    <w:rsid w:val="00361A2F"/>
    <w:rsid w:val="003658BC"/>
    <w:rsid w:val="00391816"/>
    <w:rsid w:val="00396826"/>
    <w:rsid w:val="003A799B"/>
    <w:rsid w:val="003C10B3"/>
    <w:rsid w:val="003D0342"/>
    <w:rsid w:val="003E5D2D"/>
    <w:rsid w:val="003E7B66"/>
    <w:rsid w:val="0041137A"/>
    <w:rsid w:val="00417BFE"/>
    <w:rsid w:val="004221DF"/>
    <w:rsid w:val="00437AD2"/>
    <w:rsid w:val="004412C4"/>
    <w:rsid w:val="00450583"/>
    <w:rsid w:val="004541C9"/>
    <w:rsid w:val="00464C99"/>
    <w:rsid w:val="004836CF"/>
    <w:rsid w:val="00486C39"/>
    <w:rsid w:val="004914B9"/>
    <w:rsid w:val="00496478"/>
    <w:rsid w:val="004A44E3"/>
    <w:rsid w:val="004B587D"/>
    <w:rsid w:val="004C0EA2"/>
    <w:rsid w:val="004E62D9"/>
    <w:rsid w:val="004F3096"/>
    <w:rsid w:val="004F5755"/>
    <w:rsid w:val="0050075E"/>
    <w:rsid w:val="0050205C"/>
    <w:rsid w:val="00504811"/>
    <w:rsid w:val="00524AD5"/>
    <w:rsid w:val="00543B3A"/>
    <w:rsid w:val="00550950"/>
    <w:rsid w:val="00551638"/>
    <w:rsid w:val="00565D8A"/>
    <w:rsid w:val="00567356"/>
    <w:rsid w:val="0058123A"/>
    <w:rsid w:val="00582E6C"/>
    <w:rsid w:val="00590ED0"/>
    <w:rsid w:val="005A0FFE"/>
    <w:rsid w:val="005A4A09"/>
    <w:rsid w:val="005B65B7"/>
    <w:rsid w:val="005D0297"/>
    <w:rsid w:val="00602295"/>
    <w:rsid w:val="0061781B"/>
    <w:rsid w:val="00634001"/>
    <w:rsid w:val="0063724E"/>
    <w:rsid w:val="00641EE8"/>
    <w:rsid w:val="00663625"/>
    <w:rsid w:val="006A0C8A"/>
    <w:rsid w:val="006B2259"/>
    <w:rsid w:val="006C0C5A"/>
    <w:rsid w:val="006C0F13"/>
    <w:rsid w:val="006C74EC"/>
    <w:rsid w:val="006D0395"/>
    <w:rsid w:val="006D2206"/>
    <w:rsid w:val="006D4DF4"/>
    <w:rsid w:val="006D58F6"/>
    <w:rsid w:val="006F0B74"/>
    <w:rsid w:val="00702FED"/>
    <w:rsid w:val="00742301"/>
    <w:rsid w:val="00757A12"/>
    <w:rsid w:val="007602EB"/>
    <w:rsid w:val="0077050B"/>
    <w:rsid w:val="007710CB"/>
    <w:rsid w:val="00780041"/>
    <w:rsid w:val="00792285"/>
    <w:rsid w:val="007C1951"/>
    <w:rsid w:val="007D0436"/>
    <w:rsid w:val="007D3472"/>
    <w:rsid w:val="007D5434"/>
    <w:rsid w:val="007E0957"/>
    <w:rsid w:val="007E0E91"/>
    <w:rsid w:val="007E30EC"/>
    <w:rsid w:val="00844C35"/>
    <w:rsid w:val="00861595"/>
    <w:rsid w:val="008621B1"/>
    <w:rsid w:val="00867DF8"/>
    <w:rsid w:val="008827D6"/>
    <w:rsid w:val="00886288"/>
    <w:rsid w:val="008A0CC1"/>
    <w:rsid w:val="008B4F92"/>
    <w:rsid w:val="008C7C56"/>
    <w:rsid w:val="008D2CB8"/>
    <w:rsid w:val="008E3617"/>
    <w:rsid w:val="008E449C"/>
    <w:rsid w:val="008F385F"/>
    <w:rsid w:val="008F7E0E"/>
    <w:rsid w:val="00905FCD"/>
    <w:rsid w:val="009121DE"/>
    <w:rsid w:val="009139B4"/>
    <w:rsid w:val="009323CE"/>
    <w:rsid w:val="00932ADD"/>
    <w:rsid w:val="00942DC2"/>
    <w:rsid w:val="00965AA7"/>
    <w:rsid w:val="00971DE5"/>
    <w:rsid w:val="00980CC4"/>
    <w:rsid w:val="00983968"/>
    <w:rsid w:val="009E1EBA"/>
    <w:rsid w:val="009F0C7A"/>
    <w:rsid w:val="00A30869"/>
    <w:rsid w:val="00A5699C"/>
    <w:rsid w:val="00AA7853"/>
    <w:rsid w:val="00AC1889"/>
    <w:rsid w:val="00AD2074"/>
    <w:rsid w:val="00B054E6"/>
    <w:rsid w:val="00B148A5"/>
    <w:rsid w:val="00B16B17"/>
    <w:rsid w:val="00B24ED0"/>
    <w:rsid w:val="00B3241E"/>
    <w:rsid w:val="00B40BDF"/>
    <w:rsid w:val="00B42FD8"/>
    <w:rsid w:val="00B433F1"/>
    <w:rsid w:val="00B50BBA"/>
    <w:rsid w:val="00B668F2"/>
    <w:rsid w:val="00B83321"/>
    <w:rsid w:val="00B85C15"/>
    <w:rsid w:val="00B96E43"/>
    <w:rsid w:val="00BA0D96"/>
    <w:rsid w:val="00BB2152"/>
    <w:rsid w:val="00BC342E"/>
    <w:rsid w:val="00C20A7D"/>
    <w:rsid w:val="00C41138"/>
    <w:rsid w:val="00C434E7"/>
    <w:rsid w:val="00C558F1"/>
    <w:rsid w:val="00C606AA"/>
    <w:rsid w:val="00CA5C0B"/>
    <w:rsid w:val="00CC7CD4"/>
    <w:rsid w:val="00CE7BCA"/>
    <w:rsid w:val="00CE7E5F"/>
    <w:rsid w:val="00D11961"/>
    <w:rsid w:val="00D15E19"/>
    <w:rsid w:val="00D1729A"/>
    <w:rsid w:val="00D26189"/>
    <w:rsid w:val="00D40154"/>
    <w:rsid w:val="00D50B01"/>
    <w:rsid w:val="00D51F81"/>
    <w:rsid w:val="00D529DF"/>
    <w:rsid w:val="00D755AF"/>
    <w:rsid w:val="00D86399"/>
    <w:rsid w:val="00DB2AB1"/>
    <w:rsid w:val="00DB7C73"/>
    <w:rsid w:val="00DE4C0D"/>
    <w:rsid w:val="00DF2D16"/>
    <w:rsid w:val="00DF4F2B"/>
    <w:rsid w:val="00DF6F70"/>
    <w:rsid w:val="00E04643"/>
    <w:rsid w:val="00E064AC"/>
    <w:rsid w:val="00E246ED"/>
    <w:rsid w:val="00E251FB"/>
    <w:rsid w:val="00E67850"/>
    <w:rsid w:val="00E77F23"/>
    <w:rsid w:val="00E9057F"/>
    <w:rsid w:val="00EE2070"/>
    <w:rsid w:val="00EE2D13"/>
    <w:rsid w:val="00EE577A"/>
    <w:rsid w:val="00EE66D9"/>
    <w:rsid w:val="00F011E6"/>
    <w:rsid w:val="00F231CD"/>
    <w:rsid w:val="00F440E2"/>
    <w:rsid w:val="00F45418"/>
    <w:rsid w:val="00F55116"/>
    <w:rsid w:val="00F55B11"/>
    <w:rsid w:val="00F61C99"/>
    <w:rsid w:val="00F64950"/>
    <w:rsid w:val="00F77346"/>
    <w:rsid w:val="00F77AD3"/>
    <w:rsid w:val="00F91457"/>
    <w:rsid w:val="00F945F4"/>
    <w:rsid w:val="00FC3E5A"/>
    <w:rsid w:val="00FC4BED"/>
    <w:rsid w:val="00FE5069"/>
    <w:rsid w:val="00FF5B0D"/>
    <w:rsid w:val="00FF7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A58CB"/>
  <w14:defaultImageDpi w14:val="0"/>
  <w15:docId w15:val="{D21E4C19-12E2-4656-92CE-BAF9EB73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4F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41137A"/>
    <w:pPr>
      <w:spacing w:after="0" w:line="240" w:lineRule="auto"/>
    </w:pPr>
  </w:style>
  <w:style w:type="paragraph" w:customStyle="1" w:styleId="Paragraf">
    <w:name w:val="Paragraf"/>
    <w:basedOn w:val="Normln"/>
    <w:next w:val="Normln"/>
    <w:rsid w:val="00417BFE"/>
    <w:pPr>
      <w:keepNext/>
      <w:keepLines/>
      <w:spacing w:before="240" w:after="0" w:line="240" w:lineRule="auto"/>
      <w:jc w:val="center"/>
      <w:outlineLvl w:val="5"/>
    </w:pPr>
    <w:rPr>
      <w:rFonts w:ascii="Times New Roman" w:eastAsia="Times New Roman" w:hAnsi="Times New Roman"/>
      <w:sz w:val="24"/>
      <w:szCs w:val="20"/>
    </w:rPr>
  </w:style>
  <w:style w:type="paragraph" w:styleId="Odstavecseseznamem">
    <w:name w:val="List Paragraph"/>
    <w:basedOn w:val="Normln"/>
    <w:uiPriority w:val="34"/>
    <w:qFormat/>
    <w:rsid w:val="008D2CB8"/>
    <w:pPr>
      <w:ind w:left="720"/>
      <w:contextualSpacing/>
    </w:pPr>
  </w:style>
  <w:style w:type="paragraph" w:styleId="Zhlav">
    <w:name w:val="header"/>
    <w:basedOn w:val="Normln"/>
    <w:link w:val="ZhlavChar"/>
    <w:uiPriority w:val="99"/>
    <w:unhideWhenUsed/>
    <w:rsid w:val="003968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6826"/>
  </w:style>
  <w:style w:type="paragraph" w:styleId="Zpat">
    <w:name w:val="footer"/>
    <w:basedOn w:val="Normln"/>
    <w:link w:val="ZpatChar"/>
    <w:uiPriority w:val="99"/>
    <w:unhideWhenUsed/>
    <w:rsid w:val="003968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96826"/>
  </w:style>
  <w:style w:type="character" w:styleId="Odkaznakoment">
    <w:name w:val="annotation reference"/>
    <w:basedOn w:val="Standardnpsmoodstavce"/>
    <w:uiPriority w:val="99"/>
    <w:semiHidden/>
    <w:unhideWhenUsed/>
    <w:rsid w:val="000C1DA2"/>
    <w:rPr>
      <w:sz w:val="16"/>
      <w:szCs w:val="16"/>
    </w:rPr>
  </w:style>
  <w:style w:type="paragraph" w:styleId="Textkomente">
    <w:name w:val="annotation text"/>
    <w:basedOn w:val="Normln"/>
    <w:link w:val="TextkomenteChar"/>
    <w:uiPriority w:val="99"/>
    <w:unhideWhenUsed/>
    <w:rsid w:val="000C1DA2"/>
    <w:pPr>
      <w:spacing w:line="240" w:lineRule="auto"/>
    </w:pPr>
    <w:rPr>
      <w:sz w:val="20"/>
      <w:szCs w:val="20"/>
    </w:rPr>
  </w:style>
  <w:style w:type="character" w:customStyle="1" w:styleId="TextkomenteChar">
    <w:name w:val="Text komentáře Char"/>
    <w:basedOn w:val="Standardnpsmoodstavce"/>
    <w:link w:val="Textkomente"/>
    <w:uiPriority w:val="99"/>
    <w:rsid w:val="000C1DA2"/>
    <w:rPr>
      <w:sz w:val="20"/>
      <w:szCs w:val="20"/>
    </w:rPr>
  </w:style>
  <w:style w:type="paragraph" w:styleId="Pedmtkomente">
    <w:name w:val="annotation subject"/>
    <w:basedOn w:val="Textkomente"/>
    <w:next w:val="Textkomente"/>
    <w:link w:val="PedmtkomenteChar"/>
    <w:uiPriority w:val="99"/>
    <w:semiHidden/>
    <w:unhideWhenUsed/>
    <w:rsid w:val="000C1DA2"/>
    <w:rPr>
      <w:b/>
      <w:bCs/>
    </w:rPr>
  </w:style>
  <w:style w:type="character" w:customStyle="1" w:styleId="PedmtkomenteChar">
    <w:name w:val="Předmět komentáře Char"/>
    <w:basedOn w:val="TextkomenteChar"/>
    <w:link w:val="Pedmtkomente"/>
    <w:uiPriority w:val="99"/>
    <w:semiHidden/>
    <w:rsid w:val="000C1DA2"/>
    <w:rPr>
      <w:b/>
      <w:bCs/>
      <w:sz w:val="20"/>
      <w:szCs w:val="20"/>
    </w:rPr>
  </w:style>
  <w:style w:type="paragraph" w:styleId="Textbubliny">
    <w:name w:val="Balloon Text"/>
    <w:basedOn w:val="Normln"/>
    <w:link w:val="TextbublinyChar"/>
    <w:uiPriority w:val="99"/>
    <w:semiHidden/>
    <w:unhideWhenUsed/>
    <w:rsid w:val="00AD20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6943">
      <w:bodyDiv w:val="1"/>
      <w:marLeft w:val="0"/>
      <w:marRight w:val="0"/>
      <w:marTop w:val="0"/>
      <w:marBottom w:val="0"/>
      <w:divBdr>
        <w:top w:val="none" w:sz="0" w:space="0" w:color="auto"/>
        <w:left w:val="none" w:sz="0" w:space="0" w:color="auto"/>
        <w:bottom w:val="none" w:sz="0" w:space="0" w:color="auto"/>
        <w:right w:val="none" w:sz="0" w:space="0" w:color="auto"/>
      </w:divBdr>
    </w:div>
    <w:div w:id="1097363210">
      <w:bodyDiv w:val="1"/>
      <w:marLeft w:val="0"/>
      <w:marRight w:val="0"/>
      <w:marTop w:val="0"/>
      <w:marBottom w:val="0"/>
      <w:divBdr>
        <w:top w:val="none" w:sz="0" w:space="0" w:color="auto"/>
        <w:left w:val="none" w:sz="0" w:space="0" w:color="auto"/>
        <w:bottom w:val="none" w:sz="0" w:space="0" w:color="auto"/>
        <w:right w:val="none" w:sz="0" w:space="0" w:color="auto"/>
      </w:divBdr>
    </w:div>
    <w:div w:id="1520657952">
      <w:bodyDiv w:val="1"/>
      <w:marLeft w:val="0"/>
      <w:marRight w:val="0"/>
      <w:marTop w:val="0"/>
      <w:marBottom w:val="0"/>
      <w:divBdr>
        <w:top w:val="none" w:sz="0" w:space="0" w:color="auto"/>
        <w:left w:val="none" w:sz="0" w:space="0" w:color="auto"/>
        <w:bottom w:val="none" w:sz="0" w:space="0" w:color="auto"/>
        <w:right w:val="none" w:sz="0" w:space="0" w:color="auto"/>
      </w:divBdr>
    </w:div>
    <w:div w:id="19610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82/2006%20Sb.%2523286'&amp;ucin-k-dni='30.12.9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191/2017%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37E1-664E-482E-B007-0B5BD79F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5133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Pizur Marek, Mgr.</dc:creator>
  <cp:keywords/>
  <dc:description/>
  <cp:lastModifiedBy>Pizur Marek, Mgr.</cp:lastModifiedBy>
  <cp:revision>4</cp:revision>
  <cp:lastPrinted>2023-10-05T14:25:00Z</cp:lastPrinted>
  <dcterms:created xsi:type="dcterms:W3CDTF">2024-09-03T19:15:00Z</dcterms:created>
  <dcterms:modified xsi:type="dcterms:W3CDTF">2024-09-03T19:19:00Z</dcterms:modified>
</cp:coreProperties>
</file>